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F4DB8" w14:textId="77777777" w:rsidR="00A86E34" w:rsidRDefault="00A86E34" w:rsidP="00D1251A">
      <w:pPr>
        <w:spacing w:after="0"/>
        <w:ind w:left="239" w:firstLine="0"/>
        <w:rPr>
          <w:b/>
          <w:sz w:val="40"/>
          <w:szCs w:val="40"/>
        </w:rPr>
      </w:pPr>
    </w:p>
    <w:p w14:paraId="6C285ADC" w14:textId="77777777" w:rsidR="00EC1FAC" w:rsidRDefault="00EC1FAC" w:rsidP="00EC1FAC">
      <w:pPr>
        <w:spacing w:after="0"/>
        <w:ind w:left="239" w:firstLine="0"/>
        <w:rPr>
          <w:b/>
          <w:sz w:val="40"/>
          <w:szCs w:val="40"/>
        </w:rPr>
      </w:pPr>
      <w:r w:rsidRPr="00AC27E5">
        <w:rPr>
          <w:b/>
          <w:sz w:val="40"/>
          <w:szCs w:val="40"/>
        </w:rPr>
        <w:t>Active Travel Scheme LD/24/0003 Stone Park NS to Silver Birches Pedestrian and Cycle Scheme.</w:t>
      </w:r>
    </w:p>
    <w:p w14:paraId="036D4B40" w14:textId="6302749C" w:rsidR="00A86E34" w:rsidRDefault="00A86E34" w:rsidP="001367AD">
      <w:pPr>
        <w:spacing w:after="0"/>
        <w:ind w:left="239" w:firstLine="0"/>
        <w:jc w:val="center"/>
        <w:rPr>
          <w:b/>
          <w:sz w:val="40"/>
          <w:szCs w:val="40"/>
        </w:rPr>
      </w:pPr>
    </w:p>
    <w:p w14:paraId="423F68B9" w14:textId="77777777" w:rsidR="00A86E34" w:rsidRDefault="00A86E34" w:rsidP="00D1251A">
      <w:pPr>
        <w:spacing w:after="0"/>
        <w:ind w:left="239" w:firstLine="0"/>
        <w:rPr>
          <w:b/>
          <w:sz w:val="40"/>
          <w:szCs w:val="40"/>
        </w:rPr>
      </w:pPr>
    </w:p>
    <w:p w14:paraId="49ACFFF9" w14:textId="77777777" w:rsidR="00812C3E" w:rsidRDefault="00812C3E" w:rsidP="00812C3E">
      <w:pPr>
        <w:spacing w:after="0"/>
        <w:jc w:val="center"/>
        <w:rPr>
          <w:b/>
          <w:bCs/>
          <w:sz w:val="40"/>
          <w:szCs w:val="40"/>
        </w:rPr>
      </w:pPr>
      <w:bookmarkStart w:id="0" w:name="_Hlk190877786"/>
      <w:r w:rsidRPr="00812C3E">
        <w:rPr>
          <w:b/>
          <w:bCs/>
          <w:sz w:val="40"/>
          <w:szCs w:val="40"/>
        </w:rPr>
        <w:t>Section 38 Road Traffic Act 1994</w:t>
      </w:r>
      <w:r>
        <w:rPr>
          <w:b/>
          <w:bCs/>
          <w:sz w:val="40"/>
          <w:szCs w:val="40"/>
        </w:rPr>
        <w:t xml:space="preserve"> </w:t>
      </w:r>
    </w:p>
    <w:p w14:paraId="045E0228" w14:textId="69B46C56" w:rsidR="008F7D3D" w:rsidRPr="00AC27E5" w:rsidRDefault="00812C3E" w:rsidP="00812C3E">
      <w:pPr>
        <w:spacing w:after="0"/>
        <w:jc w:val="center"/>
        <w:rPr>
          <w:b/>
          <w:bCs/>
          <w:sz w:val="40"/>
          <w:szCs w:val="40"/>
        </w:rPr>
      </w:pPr>
      <w:r>
        <w:rPr>
          <w:b/>
          <w:bCs/>
          <w:sz w:val="40"/>
          <w:szCs w:val="40"/>
        </w:rPr>
        <w:t>Determination Report</w:t>
      </w:r>
    </w:p>
    <w:bookmarkEnd w:id="0"/>
    <w:p w14:paraId="73AA0009" w14:textId="25855FA5" w:rsidR="000C2C64" w:rsidRDefault="000C2C64" w:rsidP="008F7D3D">
      <w:pPr>
        <w:spacing w:after="0"/>
        <w:ind w:left="64"/>
        <w:jc w:val="center"/>
        <w:rPr>
          <w:b/>
          <w:sz w:val="40"/>
          <w:szCs w:val="40"/>
        </w:rPr>
      </w:pPr>
    </w:p>
    <w:p w14:paraId="4C59DEFF" w14:textId="2ECCC35D" w:rsidR="00A86E34" w:rsidRDefault="00A86E34" w:rsidP="00A86E34">
      <w:pPr>
        <w:spacing w:after="0"/>
        <w:ind w:left="64"/>
        <w:rPr>
          <w:b/>
          <w:sz w:val="40"/>
          <w:szCs w:val="40"/>
        </w:rPr>
      </w:pPr>
    </w:p>
    <w:p w14:paraId="7D3070D2" w14:textId="466522F2" w:rsidR="00A86E34" w:rsidRDefault="00A86E34" w:rsidP="00A86E34">
      <w:pPr>
        <w:spacing w:after="0"/>
        <w:ind w:left="64"/>
        <w:jc w:val="center"/>
        <w:rPr>
          <w:b/>
          <w:sz w:val="40"/>
          <w:szCs w:val="40"/>
        </w:rPr>
      </w:pPr>
    </w:p>
    <w:p w14:paraId="30FA8517" w14:textId="5CE0F18F" w:rsidR="00A86E34" w:rsidRDefault="00A86E34" w:rsidP="00A86E34">
      <w:pPr>
        <w:spacing w:after="0"/>
        <w:ind w:left="64"/>
        <w:jc w:val="center"/>
        <w:rPr>
          <w:b/>
          <w:sz w:val="40"/>
          <w:szCs w:val="40"/>
        </w:rPr>
      </w:pPr>
      <w:r>
        <w:rPr>
          <w:noProof/>
        </w:rPr>
        <w:drawing>
          <wp:inline distT="0" distB="0" distL="0" distR="0" wp14:anchorId="4FD7034C" wp14:editId="494E535D">
            <wp:extent cx="4495800" cy="2051651"/>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23822" cy="2064439"/>
                    </a:xfrm>
                    <a:prstGeom prst="rect">
                      <a:avLst/>
                    </a:prstGeom>
                    <a:noFill/>
                    <a:ln>
                      <a:noFill/>
                    </a:ln>
                  </pic:spPr>
                </pic:pic>
              </a:graphicData>
            </a:graphic>
          </wp:inline>
        </w:drawing>
      </w:r>
    </w:p>
    <w:p w14:paraId="3C9FEA25" w14:textId="5DE65632" w:rsidR="006558D9" w:rsidRDefault="006558D9" w:rsidP="00A86E34">
      <w:pPr>
        <w:spacing w:after="0"/>
        <w:ind w:left="64"/>
        <w:jc w:val="center"/>
        <w:rPr>
          <w:b/>
          <w:sz w:val="40"/>
          <w:szCs w:val="40"/>
        </w:rPr>
      </w:pPr>
    </w:p>
    <w:p w14:paraId="6885A450" w14:textId="77777777" w:rsidR="006558D9" w:rsidRDefault="006558D9" w:rsidP="00A86E34">
      <w:pPr>
        <w:spacing w:after="0"/>
        <w:ind w:left="64"/>
        <w:jc w:val="center"/>
        <w:rPr>
          <w:b/>
          <w:sz w:val="40"/>
          <w:szCs w:val="40"/>
        </w:rPr>
      </w:pPr>
    </w:p>
    <w:p w14:paraId="541B5BCF" w14:textId="51DD4585" w:rsidR="00A86E34" w:rsidRDefault="00A86E34" w:rsidP="00A86E34">
      <w:pPr>
        <w:spacing w:after="0"/>
        <w:ind w:left="64"/>
        <w:jc w:val="center"/>
        <w:rPr>
          <w:b/>
          <w:sz w:val="40"/>
          <w:szCs w:val="40"/>
        </w:rPr>
      </w:pPr>
      <w:bookmarkStart w:id="1" w:name="_Hlk96593876"/>
      <w:r>
        <w:rPr>
          <w:b/>
          <w:sz w:val="40"/>
          <w:szCs w:val="40"/>
        </w:rPr>
        <w:t>Longford County Council</w:t>
      </w:r>
    </w:p>
    <w:p w14:paraId="30C0EB11" w14:textId="77777777" w:rsidR="00A86E34" w:rsidRDefault="00A86E34" w:rsidP="00A86E34">
      <w:pPr>
        <w:spacing w:after="0"/>
        <w:ind w:left="64"/>
        <w:jc w:val="center"/>
        <w:rPr>
          <w:b/>
          <w:sz w:val="40"/>
          <w:szCs w:val="40"/>
        </w:rPr>
      </w:pPr>
    </w:p>
    <w:p w14:paraId="542C6BEA" w14:textId="665208E6" w:rsidR="00A86E34" w:rsidRDefault="00A86E34" w:rsidP="00A86E34">
      <w:pPr>
        <w:spacing w:after="0"/>
        <w:ind w:left="64"/>
        <w:rPr>
          <w:b/>
          <w:sz w:val="28"/>
          <w:szCs w:val="28"/>
        </w:rPr>
      </w:pPr>
    </w:p>
    <w:p w14:paraId="0C3D3BAD" w14:textId="242719F7" w:rsidR="00325364" w:rsidRDefault="00325364" w:rsidP="00A86E34">
      <w:pPr>
        <w:spacing w:after="0"/>
        <w:ind w:left="64"/>
        <w:rPr>
          <w:b/>
          <w:sz w:val="28"/>
          <w:szCs w:val="28"/>
        </w:rPr>
      </w:pPr>
    </w:p>
    <w:p w14:paraId="0B1BE277" w14:textId="7ADEC1FB" w:rsidR="00325364" w:rsidRDefault="00EC1FAC" w:rsidP="00A86E34">
      <w:pPr>
        <w:spacing w:after="0"/>
        <w:ind w:left="64"/>
        <w:rPr>
          <w:b/>
          <w:sz w:val="28"/>
          <w:szCs w:val="28"/>
        </w:rPr>
      </w:pPr>
      <w:r>
        <w:rPr>
          <w:b/>
          <w:sz w:val="28"/>
          <w:szCs w:val="28"/>
        </w:rPr>
        <w:t>July</w:t>
      </w:r>
      <w:r w:rsidR="00325364">
        <w:rPr>
          <w:b/>
          <w:sz w:val="28"/>
          <w:szCs w:val="28"/>
        </w:rPr>
        <w:t xml:space="preserve"> 202</w:t>
      </w:r>
      <w:r w:rsidR="00E27C44">
        <w:rPr>
          <w:b/>
          <w:sz w:val="28"/>
          <w:szCs w:val="28"/>
        </w:rPr>
        <w:t>5</w:t>
      </w:r>
    </w:p>
    <w:bookmarkEnd w:id="1"/>
    <w:p w14:paraId="6F46B44A" w14:textId="7406A64B" w:rsidR="00A86E34" w:rsidRDefault="00A86E34" w:rsidP="00A86E34">
      <w:pPr>
        <w:spacing w:after="0"/>
        <w:ind w:left="64"/>
        <w:rPr>
          <w:b/>
          <w:sz w:val="40"/>
          <w:szCs w:val="40"/>
        </w:rPr>
      </w:pPr>
    </w:p>
    <w:p w14:paraId="3E267126" w14:textId="63CF99D7" w:rsidR="00A86E34" w:rsidRDefault="00A86E34" w:rsidP="00A86E34">
      <w:pPr>
        <w:spacing w:after="0"/>
        <w:ind w:left="64"/>
        <w:rPr>
          <w:b/>
          <w:sz w:val="40"/>
          <w:szCs w:val="40"/>
        </w:rPr>
      </w:pPr>
    </w:p>
    <w:p w14:paraId="1E6D852E" w14:textId="0A6BB500" w:rsidR="00DF6AA4" w:rsidRDefault="00DF6AA4" w:rsidP="00A86E34">
      <w:pPr>
        <w:spacing w:after="0"/>
        <w:ind w:left="64"/>
        <w:rPr>
          <w:b/>
          <w:sz w:val="28"/>
        </w:rPr>
      </w:pPr>
    </w:p>
    <w:p w14:paraId="465278E3" w14:textId="77777777" w:rsidR="00AC27E5" w:rsidRDefault="00AC27E5" w:rsidP="00A86E34">
      <w:pPr>
        <w:spacing w:after="0"/>
        <w:ind w:left="64"/>
        <w:rPr>
          <w:b/>
          <w:sz w:val="28"/>
        </w:rPr>
      </w:pPr>
    </w:p>
    <w:p w14:paraId="1229177A" w14:textId="77777777" w:rsidR="00AC27E5" w:rsidRDefault="00AC27E5" w:rsidP="00A86E34">
      <w:pPr>
        <w:spacing w:after="0"/>
        <w:ind w:left="64"/>
        <w:rPr>
          <w:b/>
          <w:sz w:val="28"/>
        </w:rPr>
      </w:pPr>
    </w:p>
    <w:sdt>
      <w:sdtPr>
        <w:rPr>
          <w:rFonts w:ascii="Calibri" w:eastAsia="Calibri" w:hAnsi="Calibri" w:cs="Calibri"/>
          <w:bCs w:val="0"/>
          <w:color w:val="000000"/>
          <w:sz w:val="22"/>
          <w:szCs w:val="22"/>
          <w:lang w:val="en-IE" w:eastAsia="en-IE"/>
        </w:rPr>
        <w:id w:val="-1080061793"/>
        <w:docPartObj>
          <w:docPartGallery w:val="Table of Contents"/>
          <w:docPartUnique/>
        </w:docPartObj>
      </w:sdtPr>
      <w:sdtEndPr>
        <w:rPr>
          <w:b/>
          <w:noProof/>
        </w:rPr>
      </w:sdtEndPr>
      <w:sdtContent>
        <w:p w14:paraId="1E6DBAD8" w14:textId="77777777" w:rsidR="006C769D" w:rsidRDefault="006C769D" w:rsidP="006C769D">
          <w:pPr>
            <w:pStyle w:val="TOCHeading"/>
          </w:pPr>
          <w:r>
            <w:t>Contents</w:t>
          </w:r>
        </w:p>
        <w:p w14:paraId="72F4CD93" w14:textId="4BA751AA" w:rsidR="00FA4A26" w:rsidRDefault="00092A7B">
          <w:pPr>
            <w:pStyle w:val="TOC1"/>
            <w:tabs>
              <w:tab w:val="left" w:pos="440"/>
              <w:tab w:val="right" w:leader="dot" w:pos="9014"/>
            </w:tabs>
            <w:rPr>
              <w:rFonts w:cstheme="minorBidi"/>
              <w:noProof/>
              <w:kern w:val="2"/>
              <w:lang w:val="en-IE" w:eastAsia="en-IE"/>
              <w14:ligatures w14:val="standardContextual"/>
            </w:rPr>
          </w:pPr>
          <w:r>
            <w:fldChar w:fldCharType="begin"/>
          </w:r>
          <w:r>
            <w:instrText xml:space="preserve"> TOC \o "1-6" \h \z \u </w:instrText>
          </w:r>
          <w:r>
            <w:fldChar w:fldCharType="separate"/>
          </w:r>
          <w:hyperlink w:anchor="_Toc204599714" w:history="1">
            <w:r w:rsidR="00FA4A26" w:rsidRPr="00905177">
              <w:rPr>
                <w:rStyle w:val="Hyperlink"/>
                <w:noProof/>
              </w:rPr>
              <w:t>1</w:t>
            </w:r>
            <w:r w:rsidR="00FA4A26">
              <w:rPr>
                <w:rFonts w:cstheme="minorBidi"/>
                <w:noProof/>
                <w:kern w:val="2"/>
                <w:lang w:val="en-IE" w:eastAsia="en-IE"/>
                <w14:ligatures w14:val="standardContextual"/>
              </w:rPr>
              <w:tab/>
            </w:r>
            <w:r w:rsidR="00FA4A26" w:rsidRPr="00905177">
              <w:rPr>
                <w:rStyle w:val="Hyperlink"/>
                <w:noProof/>
              </w:rPr>
              <w:t>Introduction</w:t>
            </w:r>
            <w:r w:rsidR="00FA4A26">
              <w:rPr>
                <w:noProof/>
                <w:webHidden/>
              </w:rPr>
              <w:tab/>
            </w:r>
            <w:r w:rsidR="00FA4A26">
              <w:rPr>
                <w:noProof/>
                <w:webHidden/>
              </w:rPr>
              <w:fldChar w:fldCharType="begin"/>
            </w:r>
            <w:r w:rsidR="00FA4A26">
              <w:rPr>
                <w:noProof/>
                <w:webHidden/>
              </w:rPr>
              <w:instrText xml:space="preserve"> PAGEREF _Toc204599714 \h </w:instrText>
            </w:r>
            <w:r w:rsidR="00FA4A26">
              <w:rPr>
                <w:noProof/>
                <w:webHidden/>
              </w:rPr>
            </w:r>
            <w:r w:rsidR="00FA4A26">
              <w:rPr>
                <w:noProof/>
                <w:webHidden/>
              </w:rPr>
              <w:fldChar w:fldCharType="separate"/>
            </w:r>
            <w:r w:rsidR="00FA4A26">
              <w:rPr>
                <w:noProof/>
                <w:webHidden/>
              </w:rPr>
              <w:t>3</w:t>
            </w:r>
            <w:r w:rsidR="00FA4A26">
              <w:rPr>
                <w:noProof/>
                <w:webHidden/>
              </w:rPr>
              <w:fldChar w:fldCharType="end"/>
            </w:r>
          </w:hyperlink>
        </w:p>
        <w:p w14:paraId="347F6927" w14:textId="07DABA1A" w:rsidR="00FA4A26" w:rsidRDefault="00FA4A26">
          <w:pPr>
            <w:pStyle w:val="TOC1"/>
            <w:tabs>
              <w:tab w:val="left" w:pos="440"/>
              <w:tab w:val="right" w:leader="dot" w:pos="9014"/>
            </w:tabs>
            <w:rPr>
              <w:rFonts w:cstheme="minorBidi"/>
              <w:noProof/>
              <w:kern w:val="2"/>
              <w:lang w:val="en-IE" w:eastAsia="en-IE"/>
              <w14:ligatures w14:val="standardContextual"/>
            </w:rPr>
          </w:pPr>
          <w:hyperlink w:anchor="_Toc204599715" w:history="1">
            <w:r w:rsidRPr="00905177">
              <w:rPr>
                <w:rStyle w:val="Hyperlink"/>
                <w:noProof/>
              </w:rPr>
              <w:t>2</w:t>
            </w:r>
            <w:r>
              <w:rPr>
                <w:rFonts w:cstheme="minorBidi"/>
                <w:noProof/>
                <w:kern w:val="2"/>
                <w:lang w:val="en-IE" w:eastAsia="en-IE"/>
                <w14:ligatures w14:val="standardContextual"/>
              </w:rPr>
              <w:tab/>
            </w:r>
            <w:r w:rsidRPr="00905177">
              <w:rPr>
                <w:rStyle w:val="Hyperlink"/>
                <w:noProof/>
              </w:rPr>
              <w:t>The proposed development will consist of:</w:t>
            </w:r>
            <w:r>
              <w:rPr>
                <w:noProof/>
                <w:webHidden/>
              </w:rPr>
              <w:tab/>
            </w:r>
            <w:r>
              <w:rPr>
                <w:noProof/>
                <w:webHidden/>
              </w:rPr>
              <w:fldChar w:fldCharType="begin"/>
            </w:r>
            <w:r>
              <w:rPr>
                <w:noProof/>
                <w:webHidden/>
              </w:rPr>
              <w:instrText xml:space="preserve"> PAGEREF _Toc204599715 \h </w:instrText>
            </w:r>
            <w:r>
              <w:rPr>
                <w:noProof/>
                <w:webHidden/>
              </w:rPr>
            </w:r>
            <w:r>
              <w:rPr>
                <w:noProof/>
                <w:webHidden/>
              </w:rPr>
              <w:fldChar w:fldCharType="separate"/>
            </w:r>
            <w:r>
              <w:rPr>
                <w:noProof/>
                <w:webHidden/>
              </w:rPr>
              <w:t>3</w:t>
            </w:r>
            <w:r>
              <w:rPr>
                <w:noProof/>
                <w:webHidden/>
              </w:rPr>
              <w:fldChar w:fldCharType="end"/>
            </w:r>
          </w:hyperlink>
        </w:p>
        <w:p w14:paraId="16F1D49D" w14:textId="78DABE8B" w:rsidR="00FA4A26" w:rsidRDefault="00FA4A26">
          <w:pPr>
            <w:pStyle w:val="TOC1"/>
            <w:tabs>
              <w:tab w:val="left" w:pos="440"/>
              <w:tab w:val="right" w:leader="dot" w:pos="9014"/>
            </w:tabs>
            <w:rPr>
              <w:rFonts w:cstheme="minorBidi"/>
              <w:noProof/>
              <w:kern w:val="2"/>
              <w:lang w:val="en-IE" w:eastAsia="en-IE"/>
              <w14:ligatures w14:val="standardContextual"/>
            </w:rPr>
          </w:pPr>
          <w:hyperlink w:anchor="_Toc204599716" w:history="1">
            <w:r w:rsidRPr="00905177">
              <w:rPr>
                <w:rStyle w:val="Hyperlink"/>
                <w:noProof/>
              </w:rPr>
              <w:t>3</w:t>
            </w:r>
            <w:r>
              <w:rPr>
                <w:rFonts w:cstheme="minorBidi"/>
                <w:noProof/>
                <w:kern w:val="2"/>
                <w:lang w:val="en-IE" w:eastAsia="en-IE"/>
                <w14:ligatures w14:val="standardContextual"/>
              </w:rPr>
              <w:tab/>
            </w:r>
            <w:r w:rsidRPr="00905177">
              <w:rPr>
                <w:rStyle w:val="Hyperlink"/>
                <w:noProof/>
              </w:rPr>
              <w:t>Stage 1: Determining the Applicability of Section 38</w:t>
            </w:r>
            <w:r>
              <w:rPr>
                <w:noProof/>
                <w:webHidden/>
              </w:rPr>
              <w:tab/>
            </w:r>
            <w:r>
              <w:rPr>
                <w:noProof/>
                <w:webHidden/>
              </w:rPr>
              <w:fldChar w:fldCharType="begin"/>
            </w:r>
            <w:r>
              <w:rPr>
                <w:noProof/>
                <w:webHidden/>
              </w:rPr>
              <w:instrText xml:space="preserve"> PAGEREF _Toc204599716 \h </w:instrText>
            </w:r>
            <w:r>
              <w:rPr>
                <w:noProof/>
                <w:webHidden/>
              </w:rPr>
            </w:r>
            <w:r>
              <w:rPr>
                <w:noProof/>
                <w:webHidden/>
              </w:rPr>
              <w:fldChar w:fldCharType="separate"/>
            </w:r>
            <w:r>
              <w:rPr>
                <w:noProof/>
                <w:webHidden/>
              </w:rPr>
              <w:t>3</w:t>
            </w:r>
            <w:r>
              <w:rPr>
                <w:noProof/>
                <w:webHidden/>
              </w:rPr>
              <w:fldChar w:fldCharType="end"/>
            </w:r>
          </w:hyperlink>
        </w:p>
        <w:p w14:paraId="56763D89" w14:textId="5BF548C1" w:rsidR="00FA4A26" w:rsidRDefault="00FA4A26">
          <w:pPr>
            <w:pStyle w:val="TOC2"/>
            <w:tabs>
              <w:tab w:val="left" w:pos="880"/>
              <w:tab w:val="right" w:leader="dot" w:pos="9014"/>
            </w:tabs>
            <w:rPr>
              <w:rFonts w:cstheme="minorBidi"/>
              <w:noProof/>
              <w:kern w:val="2"/>
              <w:lang w:val="en-IE" w:eastAsia="en-IE"/>
              <w14:ligatures w14:val="standardContextual"/>
            </w:rPr>
          </w:pPr>
          <w:hyperlink w:anchor="_Toc204599717" w:history="1">
            <w:r w:rsidRPr="00905177">
              <w:rPr>
                <w:rStyle w:val="Hyperlink"/>
                <w:noProof/>
              </w:rPr>
              <w:t>3.1</w:t>
            </w:r>
            <w:r>
              <w:rPr>
                <w:rFonts w:cstheme="minorBidi"/>
                <w:noProof/>
                <w:kern w:val="2"/>
                <w:lang w:val="en-IE" w:eastAsia="en-IE"/>
                <w14:ligatures w14:val="standardContextual"/>
              </w:rPr>
              <w:tab/>
            </w:r>
            <w:r w:rsidRPr="00905177">
              <w:rPr>
                <w:rStyle w:val="Hyperlink"/>
                <w:noProof/>
              </w:rPr>
              <w:t>Assessment of Traffic Calming Measures</w:t>
            </w:r>
            <w:r>
              <w:rPr>
                <w:noProof/>
                <w:webHidden/>
              </w:rPr>
              <w:tab/>
            </w:r>
            <w:r>
              <w:rPr>
                <w:noProof/>
                <w:webHidden/>
              </w:rPr>
              <w:fldChar w:fldCharType="begin"/>
            </w:r>
            <w:r>
              <w:rPr>
                <w:noProof/>
                <w:webHidden/>
              </w:rPr>
              <w:instrText xml:space="preserve"> PAGEREF _Toc204599717 \h </w:instrText>
            </w:r>
            <w:r>
              <w:rPr>
                <w:noProof/>
                <w:webHidden/>
              </w:rPr>
            </w:r>
            <w:r>
              <w:rPr>
                <w:noProof/>
                <w:webHidden/>
              </w:rPr>
              <w:fldChar w:fldCharType="separate"/>
            </w:r>
            <w:r>
              <w:rPr>
                <w:noProof/>
                <w:webHidden/>
              </w:rPr>
              <w:t>3</w:t>
            </w:r>
            <w:r>
              <w:rPr>
                <w:noProof/>
                <w:webHidden/>
              </w:rPr>
              <w:fldChar w:fldCharType="end"/>
            </w:r>
          </w:hyperlink>
        </w:p>
        <w:p w14:paraId="11239AF2" w14:textId="11FFFFA6" w:rsidR="00FA4A26" w:rsidRDefault="00FA4A26">
          <w:pPr>
            <w:pStyle w:val="TOC2"/>
            <w:tabs>
              <w:tab w:val="left" w:pos="880"/>
              <w:tab w:val="right" w:leader="dot" w:pos="9014"/>
            </w:tabs>
            <w:rPr>
              <w:rFonts w:cstheme="minorBidi"/>
              <w:noProof/>
              <w:kern w:val="2"/>
              <w:lang w:val="en-IE" w:eastAsia="en-IE"/>
              <w14:ligatures w14:val="standardContextual"/>
            </w:rPr>
          </w:pPr>
          <w:hyperlink w:anchor="_Toc204599718" w:history="1">
            <w:r w:rsidRPr="00905177">
              <w:rPr>
                <w:rStyle w:val="Hyperlink"/>
                <w:noProof/>
              </w:rPr>
              <w:t>3.2</w:t>
            </w:r>
            <w:r>
              <w:rPr>
                <w:rFonts w:cstheme="minorBidi"/>
                <w:noProof/>
                <w:kern w:val="2"/>
                <w:lang w:val="en-IE" w:eastAsia="en-IE"/>
                <w14:ligatures w14:val="standardContextual"/>
              </w:rPr>
              <w:tab/>
            </w:r>
            <w:r w:rsidRPr="00905177">
              <w:rPr>
                <w:rStyle w:val="Hyperlink"/>
                <w:noProof/>
              </w:rPr>
              <w:t>Public Road Boundaries</w:t>
            </w:r>
            <w:r>
              <w:rPr>
                <w:noProof/>
                <w:webHidden/>
              </w:rPr>
              <w:tab/>
            </w:r>
            <w:r>
              <w:rPr>
                <w:noProof/>
                <w:webHidden/>
              </w:rPr>
              <w:fldChar w:fldCharType="begin"/>
            </w:r>
            <w:r>
              <w:rPr>
                <w:noProof/>
                <w:webHidden/>
              </w:rPr>
              <w:instrText xml:space="preserve"> PAGEREF _Toc204599718 \h </w:instrText>
            </w:r>
            <w:r>
              <w:rPr>
                <w:noProof/>
                <w:webHidden/>
              </w:rPr>
            </w:r>
            <w:r>
              <w:rPr>
                <w:noProof/>
                <w:webHidden/>
              </w:rPr>
              <w:fldChar w:fldCharType="separate"/>
            </w:r>
            <w:r>
              <w:rPr>
                <w:noProof/>
                <w:webHidden/>
              </w:rPr>
              <w:t>3</w:t>
            </w:r>
            <w:r>
              <w:rPr>
                <w:noProof/>
                <w:webHidden/>
              </w:rPr>
              <w:fldChar w:fldCharType="end"/>
            </w:r>
          </w:hyperlink>
        </w:p>
        <w:p w14:paraId="1DFBF827" w14:textId="7EDC653D" w:rsidR="00FA4A26" w:rsidRDefault="00FA4A26">
          <w:pPr>
            <w:pStyle w:val="TOC2"/>
            <w:tabs>
              <w:tab w:val="left" w:pos="880"/>
              <w:tab w:val="right" w:leader="dot" w:pos="9014"/>
            </w:tabs>
            <w:rPr>
              <w:rFonts w:cstheme="minorBidi"/>
              <w:noProof/>
              <w:kern w:val="2"/>
              <w:lang w:val="en-IE" w:eastAsia="en-IE"/>
              <w14:ligatures w14:val="standardContextual"/>
            </w:rPr>
          </w:pPr>
          <w:hyperlink w:anchor="_Toc204599719" w:history="1">
            <w:r w:rsidRPr="00905177">
              <w:rPr>
                <w:rStyle w:val="Hyperlink"/>
                <w:noProof/>
              </w:rPr>
              <w:t>3.1</w:t>
            </w:r>
            <w:r>
              <w:rPr>
                <w:rFonts w:cstheme="minorBidi"/>
                <w:noProof/>
                <w:kern w:val="2"/>
                <w:lang w:val="en-IE" w:eastAsia="en-IE"/>
                <w14:ligatures w14:val="standardContextual"/>
              </w:rPr>
              <w:tab/>
            </w:r>
            <w:r w:rsidRPr="00905177">
              <w:rPr>
                <w:rStyle w:val="Hyperlink"/>
                <w:noProof/>
              </w:rPr>
              <w:t>Conclusion for Stage 1</w:t>
            </w:r>
            <w:r>
              <w:rPr>
                <w:noProof/>
                <w:webHidden/>
              </w:rPr>
              <w:tab/>
            </w:r>
            <w:r>
              <w:rPr>
                <w:noProof/>
                <w:webHidden/>
              </w:rPr>
              <w:fldChar w:fldCharType="begin"/>
            </w:r>
            <w:r>
              <w:rPr>
                <w:noProof/>
                <w:webHidden/>
              </w:rPr>
              <w:instrText xml:space="preserve"> PAGEREF _Toc204599719 \h </w:instrText>
            </w:r>
            <w:r>
              <w:rPr>
                <w:noProof/>
                <w:webHidden/>
              </w:rPr>
            </w:r>
            <w:r>
              <w:rPr>
                <w:noProof/>
                <w:webHidden/>
              </w:rPr>
              <w:fldChar w:fldCharType="separate"/>
            </w:r>
            <w:r>
              <w:rPr>
                <w:noProof/>
                <w:webHidden/>
              </w:rPr>
              <w:t>4</w:t>
            </w:r>
            <w:r>
              <w:rPr>
                <w:noProof/>
                <w:webHidden/>
              </w:rPr>
              <w:fldChar w:fldCharType="end"/>
            </w:r>
          </w:hyperlink>
        </w:p>
        <w:p w14:paraId="666BB985" w14:textId="5DDBA521" w:rsidR="00FA4A26" w:rsidRDefault="00FA4A26">
          <w:pPr>
            <w:pStyle w:val="TOC1"/>
            <w:tabs>
              <w:tab w:val="left" w:pos="440"/>
              <w:tab w:val="right" w:leader="dot" w:pos="9014"/>
            </w:tabs>
            <w:rPr>
              <w:rFonts w:cstheme="minorBidi"/>
              <w:noProof/>
              <w:kern w:val="2"/>
              <w:lang w:val="en-IE" w:eastAsia="en-IE"/>
              <w14:ligatures w14:val="standardContextual"/>
            </w:rPr>
          </w:pPr>
          <w:hyperlink w:anchor="_Toc204599720" w:history="1">
            <w:r w:rsidRPr="00905177">
              <w:rPr>
                <w:rStyle w:val="Hyperlink"/>
                <w:noProof/>
              </w:rPr>
              <w:t>4</w:t>
            </w:r>
            <w:r>
              <w:rPr>
                <w:rFonts w:cstheme="minorBidi"/>
                <w:noProof/>
                <w:kern w:val="2"/>
                <w:lang w:val="en-IE" w:eastAsia="en-IE"/>
                <w14:ligatures w14:val="standardContextual"/>
              </w:rPr>
              <w:tab/>
            </w:r>
            <w:r w:rsidRPr="00905177">
              <w:rPr>
                <w:rStyle w:val="Hyperlink"/>
                <w:noProof/>
              </w:rPr>
              <w:t>Stage 2: Environmental Impact Assessment (EIA) &amp; Appropriate Assessment (AA) Screening</w:t>
            </w:r>
            <w:r>
              <w:rPr>
                <w:noProof/>
                <w:webHidden/>
              </w:rPr>
              <w:tab/>
            </w:r>
            <w:r>
              <w:rPr>
                <w:noProof/>
                <w:webHidden/>
              </w:rPr>
              <w:fldChar w:fldCharType="begin"/>
            </w:r>
            <w:r>
              <w:rPr>
                <w:noProof/>
                <w:webHidden/>
              </w:rPr>
              <w:instrText xml:space="preserve"> PAGEREF _Toc204599720 \h </w:instrText>
            </w:r>
            <w:r>
              <w:rPr>
                <w:noProof/>
                <w:webHidden/>
              </w:rPr>
            </w:r>
            <w:r>
              <w:rPr>
                <w:noProof/>
                <w:webHidden/>
              </w:rPr>
              <w:fldChar w:fldCharType="separate"/>
            </w:r>
            <w:r>
              <w:rPr>
                <w:noProof/>
                <w:webHidden/>
              </w:rPr>
              <w:t>4</w:t>
            </w:r>
            <w:r>
              <w:rPr>
                <w:noProof/>
                <w:webHidden/>
              </w:rPr>
              <w:fldChar w:fldCharType="end"/>
            </w:r>
          </w:hyperlink>
        </w:p>
        <w:p w14:paraId="4DB91CD9" w14:textId="604FFD2D" w:rsidR="00FA4A26" w:rsidRDefault="00FA4A26">
          <w:pPr>
            <w:pStyle w:val="TOC2"/>
            <w:tabs>
              <w:tab w:val="left" w:pos="880"/>
              <w:tab w:val="right" w:leader="dot" w:pos="9014"/>
            </w:tabs>
            <w:rPr>
              <w:rFonts w:cstheme="minorBidi"/>
              <w:noProof/>
              <w:kern w:val="2"/>
              <w:lang w:val="en-IE" w:eastAsia="en-IE"/>
              <w14:ligatures w14:val="standardContextual"/>
            </w:rPr>
          </w:pPr>
          <w:hyperlink w:anchor="_Toc204599721" w:history="1">
            <w:r w:rsidRPr="00905177">
              <w:rPr>
                <w:rStyle w:val="Hyperlink"/>
                <w:noProof/>
              </w:rPr>
              <w:t>4.1</w:t>
            </w:r>
            <w:r>
              <w:rPr>
                <w:rFonts w:cstheme="minorBidi"/>
                <w:noProof/>
                <w:kern w:val="2"/>
                <w:lang w:val="en-IE" w:eastAsia="en-IE"/>
                <w14:ligatures w14:val="standardContextual"/>
              </w:rPr>
              <w:tab/>
            </w:r>
            <w:r w:rsidRPr="00905177">
              <w:rPr>
                <w:rStyle w:val="Hyperlink"/>
                <w:noProof/>
              </w:rPr>
              <w:t>Environmental Impact Assessment (EIA) Screening</w:t>
            </w:r>
            <w:r>
              <w:rPr>
                <w:noProof/>
                <w:webHidden/>
              </w:rPr>
              <w:tab/>
            </w:r>
            <w:r>
              <w:rPr>
                <w:noProof/>
                <w:webHidden/>
              </w:rPr>
              <w:fldChar w:fldCharType="begin"/>
            </w:r>
            <w:r>
              <w:rPr>
                <w:noProof/>
                <w:webHidden/>
              </w:rPr>
              <w:instrText xml:space="preserve"> PAGEREF _Toc204599721 \h </w:instrText>
            </w:r>
            <w:r>
              <w:rPr>
                <w:noProof/>
                <w:webHidden/>
              </w:rPr>
            </w:r>
            <w:r>
              <w:rPr>
                <w:noProof/>
                <w:webHidden/>
              </w:rPr>
              <w:fldChar w:fldCharType="separate"/>
            </w:r>
            <w:r>
              <w:rPr>
                <w:noProof/>
                <w:webHidden/>
              </w:rPr>
              <w:t>4</w:t>
            </w:r>
            <w:r>
              <w:rPr>
                <w:noProof/>
                <w:webHidden/>
              </w:rPr>
              <w:fldChar w:fldCharType="end"/>
            </w:r>
          </w:hyperlink>
        </w:p>
        <w:p w14:paraId="5194A27F" w14:textId="286FD7D1" w:rsidR="00FA4A26" w:rsidRDefault="00FA4A26">
          <w:pPr>
            <w:pStyle w:val="TOC2"/>
            <w:tabs>
              <w:tab w:val="left" w:pos="880"/>
              <w:tab w:val="right" w:leader="dot" w:pos="9014"/>
            </w:tabs>
            <w:rPr>
              <w:rFonts w:cstheme="minorBidi"/>
              <w:noProof/>
              <w:kern w:val="2"/>
              <w:lang w:val="en-IE" w:eastAsia="en-IE"/>
              <w14:ligatures w14:val="standardContextual"/>
            </w:rPr>
          </w:pPr>
          <w:hyperlink w:anchor="_Toc204599722" w:history="1">
            <w:r w:rsidRPr="00905177">
              <w:rPr>
                <w:rStyle w:val="Hyperlink"/>
                <w:noProof/>
              </w:rPr>
              <w:t>4.2</w:t>
            </w:r>
            <w:r>
              <w:rPr>
                <w:rFonts w:cstheme="minorBidi"/>
                <w:noProof/>
                <w:kern w:val="2"/>
                <w:lang w:val="en-IE" w:eastAsia="en-IE"/>
                <w14:ligatures w14:val="standardContextual"/>
              </w:rPr>
              <w:tab/>
            </w:r>
            <w:r w:rsidRPr="00905177">
              <w:rPr>
                <w:rStyle w:val="Hyperlink"/>
                <w:noProof/>
              </w:rPr>
              <w:t>Appropriate Assessment (AA) Screening</w:t>
            </w:r>
            <w:r>
              <w:rPr>
                <w:noProof/>
                <w:webHidden/>
              </w:rPr>
              <w:tab/>
            </w:r>
            <w:r>
              <w:rPr>
                <w:noProof/>
                <w:webHidden/>
              </w:rPr>
              <w:fldChar w:fldCharType="begin"/>
            </w:r>
            <w:r>
              <w:rPr>
                <w:noProof/>
                <w:webHidden/>
              </w:rPr>
              <w:instrText xml:space="preserve"> PAGEREF _Toc204599722 \h </w:instrText>
            </w:r>
            <w:r>
              <w:rPr>
                <w:noProof/>
                <w:webHidden/>
              </w:rPr>
            </w:r>
            <w:r>
              <w:rPr>
                <w:noProof/>
                <w:webHidden/>
              </w:rPr>
              <w:fldChar w:fldCharType="separate"/>
            </w:r>
            <w:r>
              <w:rPr>
                <w:noProof/>
                <w:webHidden/>
              </w:rPr>
              <w:t>4</w:t>
            </w:r>
            <w:r>
              <w:rPr>
                <w:noProof/>
                <w:webHidden/>
              </w:rPr>
              <w:fldChar w:fldCharType="end"/>
            </w:r>
          </w:hyperlink>
        </w:p>
        <w:p w14:paraId="4E2AD108" w14:textId="65ABB865" w:rsidR="00FA4A26" w:rsidRDefault="00FA4A26">
          <w:pPr>
            <w:pStyle w:val="TOC1"/>
            <w:tabs>
              <w:tab w:val="left" w:pos="440"/>
              <w:tab w:val="right" w:leader="dot" w:pos="9014"/>
            </w:tabs>
            <w:rPr>
              <w:rFonts w:cstheme="minorBidi"/>
              <w:noProof/>
              <w:kern w:val="2"/>
              <w:lang w:val="en-IE" w:eastAsia="en-IE"/>
              <w14:ligatures w14:val="standardContextual"/>
            </w:rPr>
          </w:pPr>
          <w:hyperlink w:anchor="_Toc204599723" w:history="1">
            <w:r w:rsidRPr="00905177">
              <w:rPr>
                <w:rStyle w:val="Hyperlink"/>
                <w:noProof/>
              </w:rPr>
              <w:t>5</w:t>
            </w:r>
            <w:r>
              <w:rPr>
                <w:rFonts w:cstheme="minorBidi"/>
                <w:noProof/>
                <w:kern w:val="2"/>
                <w:lang w:val="en-IE" w:eastAsia="en-IE"/>
                <w14:ligatures w14:val="standardContextual"/>
              </w:rPr>
              <w:tab/>
            </w:r>
            <w:r w:rsidRPr="00905177">
              <w:rPr>
                <w:rStyle w:val="Hyperlink"/>
                <w:noProof/>
              </w:rPr>
              <w:t>Stage 3: Planning Considerations (Part 8 of the Planning and Development Regulations, 2001)</w:t>
            </w:r>
            <w:r>
              <w:rPr>
                <w:noProof/>
                <w:webHidden/>
              </w:rPr>
              <w:tab/>
            </w:r>
            <w:r>
              <w:rPr>
                <w:noProof/>
                <w:webHidden/>
              </w:rPr>
              <w:fldChar w:fldCharType="begin"/>
            </w:r>
            <w:r>
              <w:rPr>
                <w:noProof/>
                <w:webHidden/>
              </w:rPr>
              <w:instrText xml:space="preserve"> PAGEREF _Toc204599723 \h </w:instrText>
            </w:r>
            <w:r>
              <w:rPr>
                <w:noProof/>
                <w:webHidden/>
              </w:rPr>
            </w:r>
            <w:r>
              <w:rPr>
                <w:noProof/>
                <w:webHidden/>
              </w:rPr>
              <w:fldChar w:fldCharType="separate"/>
            </w:r>
            <w:r>
              <w:rPr>
                <w:noProof/>
                <w:webHidden/>
              </w:rPr>
              <w:t>4</w:t>
            </w:r>
            <w:r>
              <w:rPr>
                <w:noProof/>
                <w:webHidden/>
              </w:rPr>
              <w:fldChar w:fldCharType="end"/>
            </w:r>
          </w:hyperlink>
        </w:p>
        <w:p w14:paraId="5BA1F326" w14:textId="58F794D0" w:rsidR="00FA4A26" w:rsidRDefault="00FA4A26">
          <w:pPr>
            <w:pStyle w:val="TOC1"/>
            <w:tabs>
              <w:tab w:val="left" w:pos="440"/>
              <w:tab w:val="right" w:leader="dot" w:pos="9014"/>
            </w:tabs>
            <w:rPr>
              <w:rFonts w:cstheme="minorBidi"/>
              <w:noProof/>
              <w:kern w:val="2"/>
              <w:lang w:val="en-IE" w:eastAsia="en-IE"/>
              <w14:ligatures w14:val="standardContextual"/>
            </w:rPr>
          </w:pPr>
          <w:hyperlink w:anchor="_Toc204599724" w:history="1">
            <w:r w:rsidRPr="00905177">
              <w:rPr>
                <w:rStyle w:val="Hyperlink"/>
                <w:noProof/>
              </w:rPr>
              <w:t>6</w:t>
            </w:r>
            <w:r>
              <w:rPr>
                <w:rFonts w:cstheme="minorBidi"/>
                <w:noProof/>
                <w:kern w:val="2"/>
                <w:lang w:val="en-IE" w:eastAsia="en-IE"/>
                <w14:ligatures w14:val="standardContextual"/>
              </w:rPr>
              <w:tab/>
            </w:r>
            <w:r w:rsidRPr="00905177">
              <w:rPr>
                <w:rStyle w:val="Hyperlink"/>
                <w:noProof/>
              </w:rPr>
              <w:t>Final Conclusion</w:t>
            </w:r>
            <w:r>
              <w:rPr>
                <w:noProof/>
                <w:webHidden/>
              </w:rPr>
              <w:tab/>
            </w:r>
            <w:r>
              <w:rPr>
                <w:noProof/>
                <w:webHidden/>
              </w:rPr>
              <w:fldChar w:fldCharType="begin"/>
            </w:r>
            <w:r>
              <w:rPr>
                <w:noProof/>
                <w:webHidden/>
              </w:rPr>
              <w:instrText xml:space="preserve"> PAGEREF _Toc204599724 \h </w:instrText>
            </w:r>
            <w:r>
              <w:rPr>
                <w:noProof/>
                <w:webHidden/>
              </w:rPr>
            </w:r>
            <w:r>
              <w:rPr>
                <w:noProof/>
                <w:webHidden/>
              </w:rPr>
              <w:fldChar w:fldCharType="separate"/>
            </w:r>
            <w:r>
              <w:rPr>
                <w:noProof/>
                <w:webHidden/>
              </w:rPr>
              <w:t>5</w:t>
            </w:r>
            <w:r>
              <w:rPr>
                <w:noProof/>
                <w:webHidden/>
              </w:rPr>
              <w:fldChar w:fldCharType="end"/>
            </w:r>
          </w:hyperlink>
        </w:p>
        <w:p w14:paraId="6EF9F170" w14:textId="0416CC5F" w:rsidR="00FA4A26" w:rsidRDefault="00FA4A26">
          <w:pPr>
            <w:pStyle w:val="TOC1"/>
            <w:tabs>
              <w:tab w:val="left" w:pos="440"/>
              <w:tab w:val="right" w:leader="dot" w:pos="9014"/>
            </w:tabs>
            <w:rPr>
              <w:rFonts w:cstheme="minorBidi"/>
              <w:noProof/>
              <w:kern w:val="2"/>
              <w:lang w:val="en-IE" w:eastAsia="en-IE"/>
              <w14:ligatures w14:val="standardContextual"/>
            </w:rPr>
          </w:pPr>
          <w:hyperlink w:anchor="_Toc204599725" w:history="1">
            <w:r w:rsidRPr="00905177">
              <w:rPr>
                <w:rStyle w:val="Hyperlink"/>
                <w:noProof/>
              </w:rPr>
              <w:t>7</w:t>
            </w:r>
            <w:r>
              <w:rPr>
                <w:rFonts w:cstheme="minorBidi"/>
                <w:noProof/>
                <w:kern w:val="2"/>
                <w:lang w:val="en-IE" w:eastAsia="en-IE"/>
                <w14:ligatures w14:val="standardContextual"/>
              </w:rPr>
              <w:tab/>
            </w:r>
            <w:r w:rsidRPr="00905177">
              <w:rPr>
                <w:rStyle w:val="Hyperlink"/>
                <w:noProof/>
              </w:rPr>
              <w:t>Recording of this Determination</w:t>
            </w:r>
            <w:r>
              <w:rPr>
                <w:noProof/>
                <w:webHidden/>
              </w:rPr>
              <w:tab/>
            </w:r>
            <w:r>
              <w:rPr>
                <w:noProof/>
                <w:webHidden/>
              </w:rPr>
              <w:fldChar w:fldCharType="begin"/>
            </w:r>
            <w:r>
              <w:rPr>
                <w:noProof/>
                <w:webHidden/>
              </w:rPr>
              <w:instrText xml:space="preserve"> PAGEREF _Toc204599725 \h </w:instrText>
            </w:r>
            <w:r>
              <w:rPr>
                <w:noProof/>
                <w:webHidden/>
              </w:rPr>
            </w:r>
            <w:r>
              <w:rPr>
                <w:noProof/>
                <w:webHidden/>
              </w:rPr>
              <w:fldChar w:fldCharType="separate"/>
            </w:r>
            <w:r>
              <w:rPr>
                <w:noProof/>
                <w:webHidden/>
              </w:rPr>
              <w:t>5</w:t>
            </w:r>
            <w:r>
              <w:rPr>
                <w:noProof/>
                <w:webHidden/>
              </w:rPr>
              <w:fldChar w:fldCharType="end"/>
            </w:r>
          </w:hyperlink>
        </w:p>
        <w:p w14:paraId="49C731C0" w14:textId="05B04077" w:rsidR="006C769D" w:rsidRDefault="00092A7B" w:rsidP="006C769D">
          <w:r>
            <w:rPr>
              <w:rFonts w:asciiTheme="minorHAnsi" w:eastAsiaTheme="minorEastAsia" w:hAnsiTheme="minorHAnsi" w:cs="Times New Roman"/>
              <w:color w:val="auto"/>
              <w:lang w:val="en-US" w:eastAsia="en-US"/>
            </w:rPr>
            <w:fldChar w:fldCharType="end"/>
          </w:r>
        </w:p>
      </w:sdtContent>
    </w:sdt>
    <w:p w14:paraId="610B857C" w14:textId="72BBC4F2" w:rsidR="005E29D5" w:rsidRDefault="005E29D5" w:rsidP="00A86E34">
      <w:pPr>
        <w:spacing w:after="0"/>
        <w:ind w:left="64"/>
        <w:rPr>
          <w:b/>
          <w:sz w:val="28"/>
        </w:rPr>
      </w:pPr>
    </w:p>
    <w:p w14:paraId="6E10AA93" w14:textId="72768D21" w:rsidR="00B7556F" w:rsidRPr="005E29D5" w:rsidRDefault="005E29D5" w:rsidP="00BB6FB4">
      <w:pPr>
        <w:pStyle w:val="Heading1"/>
      </w:pPr>
      <w:r>
        <w:br w:type="page"/>
      </w:r>
      <w:bookmarkStart w:id="2" w:name="_Hlk193710907"/>
      <w:bookmarkStart w:id="3" w:name="_Toc204599714"/>
      <w:r w:rsidR="00B7556F" w:rsidRPr="005E29D5">
        <w:lastRenderedPageBreak/>
        <w:t>Introduction</w:t>
      </w:r>
      <w:bookmarkEnd w:id="3"/>
      <w:r w:rsidR="007606B1" w:rsidRPr="005E29D5">
        <w:fldChar w:fldCharType="begin"/>
      </w:r>
      <w:r w:rsidR="007606B1" w:rsidRPr="005E29D5">
        <w:instrText xml:space="preserve"> XE "Introduction" </w:instrText>
      </w:r>
      <w:r w:rsidR="007606B1" w:rsidRPr="005E29D5">
        <w:fldChar w:fldCharType="end"/>
      </w:r>
    </w:p>
    <w:bookmarkEnd w:id="2"/>
    <w:p w14:paraId="5F4A5E91" w14:textId="14EC6068" w:rsidR="00812C3E" w:rsidRDefault="00812C3E" w:rsidP="00812C3E">
      <w:pPr>
        <w:spacing w:after="0" w:line="240" w:lineRule="auto"/>
        <w:contextualSpacing/>
        <w:jc w:val="both"/>
        <w:rPr>
          <w:rFonts w:asciiTheme="minorHAnsi" w:hAnsiTheme="minorHAnsi" w:cstheme="minorHAnsi"/>
          <w:lang w:val="en-GB"/>
        </w:rPr>
      </w:pPr>
      <w:r w:rsidRPr="00812C3E">
        <w:rPr>
          <w:rFonts w:asciiTheme="minorHAnsi" w:hAnsiTheme="minorHAnsi" w:cstheme="minorHAnsi"/>
          <w:lang w:val="en-GB"/>
        </w:rPr>
        <w:t xml:space="preserve">The purpose of this document is to determine if the works described herein, which are proposed to be carried out by Longford County Council Active Travel Section, are appropriate for assessment and </w:t>
      </w:r>
      <w:r w:rsidR="001367AD" w:rsidRPr="00812C3E">
        <w:rPr>
          <w:rFonts w:asciiTheme="minorHAnsi" w:hAnsiTheme="minorHAnsi" w:cstheme="minorHAnsi"/>
          <w:lang w:val="en-GB"/>
        </w:rPr>
        <w:t>implementation in</w:t>
      </w:r>
      <w:r w:rsidRPr="00812C3E">
        <w:rPr>
          <w:rFonts w:asciiTheme="minorHAnsi" w:hAnsiTheme="minorHAnsi" w:cstheme="minorHAnsi"/>
          <w:lang w:val="en-GB"/>
        </w:rPr>
        <w:t xml:space="preserve"> accordance with Section 38 of the Road Traffic Act 1994. The Department of Transport have published a </w:t>
      </w:r>
      <w:r w:rsidR="001367AD" w:rsidRPr="00812C3E">
        <w:rPr>
          <w:rFonts w:asciiTheme="minorHAnsi" w:hAnsiTheme="minorHAnsi" w:cstheme="minorHAnsi"/>
          <w:lang w:val="en-GB"/>
        </w:rPr>
        <w:t>guidance document</w:t>
      </w:r>
      <w:r w:rsidRPr="00812C3E">
        <w:rPr>
          <w:rFonts w:asciiTheme="minorHAnsi" w:hAnsiTheme="minorHAnsi" w:cstheme="minorHAnsi"/>
          <w:lang w:val="en-GB"/>
        </w:rPr>
        <w:t xml:space="preserve"> on Section 38 works and it sets out types of works that can be undertaken, processes that apply for permanent works and procedures for temporary or ‘trial’ works. Such processes and procedures allow for consultation and related Traffic Works Orders (Chief Executive Orders). </w:t>
      </w:r>
    </w:p>
    <w:p w14:paraId="2A0B9818" w14:textId="3C4FDFD2" w:rsidR="00812C3E" w:rsidRPr="00812C3E" w:rsidRDefault="00812C3E" w:rsidP="00812C3E">
      <w:pPr>
        <w:spacing w:after="0" w:line="240" w:lineRule="auto"/>
        <w:contextualSpacing/>
        <w:jc w:val="both"/>
        <w:rPr>
          <w:rFonts w:asciiTheme="minorHAnsi" w:hAnsiTheme="minorHAnsi" w:cstheme="minorHAnsi"/>
          <w:lang w:val="en-GB"/>
        </w:rPr>
      </w:pPr>
      <w:r w:rsidRPr="00812C3E">
        <w:rPr>
          <w:rFonts w:asciiTheme="minorHAnsi" w:hAnsiTheme="minorHAnsi" w:cstheme="minorHAnsi"/>
          <w:lang w:val="en-GB"/>
        </w:rPr>
        <w:t xml:space="preserve"> </w:t>
      </w:r>
    </w:p>
    <w:p w14:paraId="19D695A8" w14:textId="77777777" w:rsidR="00812C3E" w:rsidRPr="00812C3E" w:rsidRDefault="00812C3E" w:rsidP="00812C3E">
      <w:pPr>
        <w:spacing w:after="0" w:line="240" w:lineRule="auto"/>
        <w:contextualSpacing/>
        <w:jc w:val="both"/>
        <w:rPr>
          <w:rFonts w:asciiTheme="minorHAnsi" w:hAnsiTheme="minorHAnsi" w:cstheme="minorHAnsi"/>
          <w:lang w:val="en-GB"/>
        </w:rPr>
      </w:pPr>
      <w:r w:rsidRPr="00812C3E">
        <w:rPr>
          <w:rFonts w:asciiTheme="minorHAnsi" w:hAnsiTheme="minorHAnsi" w:cstheme="minorHAnsi"/>
          <w:lang w:val="en-GB"/>
        </w:rPr>
        <w:t xml:space="preserve">It is an essential part of this process that there is a Recorded Determination of whether the works </w:t>
      </w:r>
    </w:p>
    <w:p w14:paraId="583805B4" w14:textId="77777777" w:rsidR="00812C3E" w:rsidRPr="00812C3E" w:rsidRDefault="00812C3E" w:rsidP="00812C3E">
      <w:pPr>
        <w:spacing w:after="0" w:line="240" w:lineRule="auto"/>
        <w:contextualSpacing/>
        <w:jc w:val="both"/>
        <w:rPr>
          <w:rFonts w:asciiTheme="minorHAnsi" w:hAnsiTheme="minorHAnsi" w:cstheme="minorHAnsi"/>
          <w:lang w:val="en-GB"/>
        </w:rPr>
      </w:pPr>
      <w:r w:rsidRPr="00812C3E">
        <w:rPr>
          <w:rFonts w:asciiTheme="minorHAnsi" w:hAnsiTheme="minorHAnsi" w:cstheme="minorHAnsi"/>
          <w:lang w:val="en-GB"/>
        </w:rPr>
        <w:t xml:space="preserve">can progress under the provisions of the Section 38 procedure outline in the Oct 2023 Guidance </w:t>
      </w:r>
    </w:p>
    <w:p w14:paraId="21F697CD" w14:textId="783FA2A7" w:rsidR="00E27C44" w:rsidRDefault="00812C3E" w:rsidP="00812C3E">
      <w:pPr>
        <w:spacing w:after="0" w:line="240" w:lineRule="auto"/>
        <w:contextualSpacing/>
        <w:jc w:val="both"/>
        <w:rPr>
          <w:rFonts w:asciiTheme="minorHAnsi" w:hAnsiTheme="minorHAnsi" w:cstheme="minorHAnsi"/>
          <w:lang w:val="en-GB"/>
        </w:rPr>
      </w:pPr>
      <w:r w:rsidRPr="00812C3E">
        <w:rPr>
          <w:rFonts w:asciiTheme="minorHAnsi" w:hAnsiTheme="minorHAnsi" w:cstheme="minorHAnsi"/>
          <w:lang w:val="en-GB"/>
        </w:rPr>
        <w:t xml:space="preserve">Document. This is the record of that determination. </w:t>
      </w:r>
      <w:r w:rsidR="00AC27E5" w:rsidRPr="00AC27E5">
        <w:rPr>
          <w:rFonts w:asciiTheme="minorHAnsi" w:hAnsiTheme="minorHAnsi" w:cstheme="minorHAnsi"/>
          <w:lang w:val="en-GB"/>
        </w:rPr>
        <w:t xml:space="preserve"> </w:t>
      </w:r>
    </w:p>
    <w:p w14:paraId="452C458B" w14:textId="77777777" w:rsidR="00847490" w:rsidRDefault="00847490" w:rsidP="00812C3E">
      <w:pPr>
        <w:spacing w:after="0" w:line="240" w:lineRule="auto"/>
        <w:contextualSpacing/>
        <w:jc w:val="both"/>
        <w:rPr>
          <w:rFonts w:asciiTheme="minorHAnsi" w:hAnsiTheme="minorHAnsi" w:cstheme="minorHAnsi"/>
          <w:lang w:val="en-GB"/>
        </w:rPr>
      </w:pPr>
    </w:p>
    <w:p w14:paraId="211386C0" w14:textId="77945D00" w:rsidR="00847490" w:rsidRPr="005E29D5" w:rsidRDefault="00847490" w:rsidP="00847490">
      <w:pPr>
        <w:pStyle w:val="Heading1"/>
      </w:pPr>
      <w:bookmarkStart w:id="4" w:name="_Toc204599715"/>
      <w:r w:rsidRPr="00847490">
        <w:t>The proposed development will consist of:</w:t>
      </w:r>
      <w:bookmarkEnd w:id="4"/>
      <w:r w:rsidRPr="00847490">
        <w:t xml:space="preserve"> </w:t>
      </w:r>
      <w:r w:rsidRPr="005E29D5">
        <w:fldChar w:fldCharType="begin"/>
      </w:r>
      <w:r w:rsidRPr="005E29D5">
        <w:instrText xml:space="preserve"> XE "Introduction" </w:instrText>
      </w:r>
      <w:r w:rsidRPr="005E29D5">
        <w:fldChar w:fldCharType="end"/>
      </w:r>
    </w:p>
    <w:p w14:paraId="2201EAD5" w14:textId="77777777" w:rsidR="00001105" w:rsidRDefault="00001105" w:rsidP="00C04A8D">
      <w:pPr>
        <w:spacing w:after="0" w:line="240" w:lineRule="auto"/>
        <w:ind w:left="0" w:firstLine="0"/>
      </w:pPr>
    </w:p>
    <w:p w14:paraId="31222F5B" w14:textId="58CBF796" w:rsidR="000B3CAC" w:rsidRDefault="000B3CAC" w:rsidP="000B3CAC">
      <w:pPr>
        <w:spacing w:after="0" w:line="240" w:lineRule="auto"/>
        <w:ind w:left="0" w:firstLine="0"/>
      </w:pPr>
      <w:bookmarkStart w:id="5" w:name="_Hlk202266372"/>
      <w:r>
        <w:t>The Stone</w:t>
      </w:r>
      <w:r w:rsidR="00231F0E">
        <w:t>p</w:t>
      </w:r>
      <w:r>
        <w:t xml:space="preserve">ark NS to Silver Birches </w:t>
      </w:r>
      <w:bookmarkEnd w:id="5"/>
      <w:r>
        <w:t xml:space="preserve">Pedestrian and Cycle Scheme is required to cater </w:t>
      </w:r>
      <w:r w:rsidR="00231F0E">
        <w:t xml:space="preserve">for </w:t>
      </w:r>
      <w:r>
        <w:t xml:space="preserve">pedestrians and cyclist using the L-5213 road to commute between the </w:t>
      </w:r>
      <w:bookmarkStart w:id="6" w:name="_Hlk202266693"/>
      <w:r>
        <w:t xml:space="preserve">School and Gratton Og GAA </w:t>
      </w:r>
      <w:bookmarkEnd w:id="6"/>
      <w:r>
        <w:t xml:space="preserve">recreational facilities. Currently there is no footpath and the road is narrow along this this section. The scheme will reduce traffic near the school during drop-off and pick-up times, posing less of a risk to those walking or cycling, in total the proposed scheme is 750m. The scheme will also consist of the </w:t>
      </w:r>
      <w:r w:rsidR="00FA4A26">
        <w:t xml:space="preserve">realignment and </w:t>
      </w:r>
      <w:r>
        <w:t xml:space="preserve">upgrading of the existing Zebra Crossing to a raised </w:t>
      </w:r>
      <w:r w:rsidR="00FA4A26">
        <w:t xml:space="preserve">Zebra </w:t>
      </w:r>
      <w:r>
        <w:t xml:space="preserve">Crossing and the </w:t>
      </w:r>
      <w:bookmarkStart w:id="7" w:name="_Hlk202266940"/>
      <w:bookmarkStart w:id="8" w:name="_Hlk204600319"/>
      <w:r w:rsidR="00FA4A26">
        <w:t>provision of an uncontrolled raised crossing at the</w:t>
      </w:r>
      <w:r>
        <w:t xml:space="preserve"> existing entrance to Gratton Og GAA facilities</w:t>
      </w:r>
      <w:bookmarkEnd w:id="8"/>
      <w:r>
        <w:t>.</w:t>
      </w:r>
      <w:bookmarkEnd w:id="7"/>
    </w:p>
    <w:p w14:paraId="7FFB8714" w14:textId="077F9466" w:rsidR="000B3CAC" w:rsidRDefault="000B3CAC" w:rsidP="000B3CAC">
      <w:pPr>
        <w:spacing w:after="0" w:line="240" w:lineRule="auto"/>
        <w:ind w:left="0" w:firstLine="0"/>
      </w:pPr>
      <w:r>
        <w:t>Upon completion, pedestrian and cyclist volumes will increase.  The current Active Travel proposal seeks to proactively respond to existing and future pedestrian needs of the area, proving it worthwhile and timely.</w:t>
      </w:r>
    </w:p>
    <w:p w14:paraId="7BC66EE2" w14:textId="77777777" w:rsidR="00001105" w:rsidRDefault="00001105" w:rsidP="00001105">
      <w:pPr>
        <w:spacing w:after="0"/>
        <w:ind w:left="0" w:firstLine="0"/>
      </w:pPr>
    </w:p>
    <w:p w14:paraId="3AD6CCA9" w14:textId="64606E3C" w:rsidR="00DC1C47" w:rsidRDefault="003A17E5" w:rsidP="005E29D5">
      <w:pPr>
        <w:pStyle w:val="Heading1"/>
      </w:pPr>
      <w:bookmarkStart w:id="9" w:name="_Toc204599716"/>
      <w:r w:rsidRPr="003A17E5">
        <w:t>Stage 1: Determining the Applicability of Section 38</w:t>
      </w:r>
      <w:bookmarkEnd w:id="9"/>
    </w:p>
    <w:p w14:paraId="7850D5ED" w14:textId="38806806" w:rsidR="002C14E8" w:rsidRPr="005B268D" w:rsidRDefault="002C14E8" w:rsidP="002C14E8">
      <w:pPr>
        <w:ind w:left="0" w:firstLine="0"/>
      </w:pPr>
    </w:p>
    <w:p w14:paraId="5C95769F" w14:textId="1894BE9C" w:rsidR="00B7556F" w:rsidRDefault="003A17E5" w:rsidP="005E29D5">
      <w:pPr>
        <w:pStyle w:val="Heading2"/>
      </w:pPr>
      <w:bookmarkStart w:id="10" w:name="_Hlk193711914"/>
      <w:bookmarkStart w:id="11" w:name="_Toc204599717"/>
      <w:r w:rsidRPr="003A17E5">
        <w:t>Assessment of Traffic Calming Measures</w:t>
      </w:r>
      <w:bookmarkEnd w:id="11"/>
    </w:p>
    <w:bookmarkEnd w:id="10"/>
    <w:p w14:paraId="4A0D32E1" w14:textId="77777777" w:rsidR="002C14E8" w:rsidRDefault="002C14E8" w:rsidP="002C14E8">
      <w:pPr>
        <w:spacing w:after="0" w:line="240" w:lineRule="auto"/>
        <w:ind w:left="11" w:hanging="11"/>
      </w:pPr>
    </w:p>
    <w:p w14:paraId="7C0F3AA0" w14:textId="5B61AA1A" w:rsidR="000B3CAC" w:rsidRPr="00A11F37" w:rsidRDefault="000B3CAC" w:rsidP="00A11F37">
      <w:pPr>
        <w:pStyle w:val="NormalWeb"/>
        <w:rPr>
          <w:b/>
          <w:bCs/>
        </w:rPr>
      </w:pPr>
      <w:r>
        <w:t xml:space="preserve">Based on the proposed project, the following works qualify as traffic calming under </w:t>
      </w:r>
      <w:r w:rsidRPr="003A17E5">
        <w:rPr>
          <w:rStyle w:val="Strong"/>
          <w:rFonts w:eastAsia="Calibri"/>
          <w:b w:val="0"/>
          <w:bCs w:val="0"/>
        </w:rPr>
        <w:t>Section 38(9) of the Road Traffic Act 1994</w:t>
      </w:r>
      <w:r w:rsidRPr="003A17E5">
        <w:rPr>
          <w:b/>
          <w:bCs/>
        </w:rPr>
        <w:t>:</w:t>
      </w:r>
    </w:p>
    <w:p w14:paraId="6ACD04F6" w14:textId="7844095A" w:rsidR="000B3CAC" w:rsidRPr="00624697" w:rsidRDefault="00A11F37" w:rsidP="00624697">
      <w:pPr>
        <w:pStyle w:val="NormalWeb"/>
        <w:numPr>
          <w:ilvl w:val="0"/>
          <w:numId w:val="50"/>
        </w:numPr>
        <w:rPr>
          <w:rFonts w:ascii="Calibri" w:eastAsia="Calibri" w:hAnsi="Calibri" w:cs="Calibri"/>
          <w:color w:val="000000"/>
          <w:kern w:val="2"/>
          <w:sz w:val="22"/>
          <w:szCs w:val="22"/>
          <w14:ligatures w14:val="standardContextual"/>
        </w:rPr>
      </w:pPr>
      <w:r>
        <w:rPr>
          <w:rFonts w:ascii="Calibri" w:eastAsia="Calibri" w:hAnsi="Calibri" w:cs="Calibri"/>
          <w:color w:val="000000"/>
          <w:kern w:val="2"/>
          <w:sz w:val="22"/>
          <w:szCs w:val="22"/>
          <w14:ligatures w14:val="standardContextual"/>
        </w:rPr>
        <w:t>The provision of a r</w:t>
      </w:r>
      <w:r w:rsidR="000B3CAC" w:rsidRPr="003A17E5">
        <w:rPr>
          <w:rFonts w:ascii="Calibri" w:eastAsia="Calibri" w:hAnsi="Calibri" w:cs="Calibri"/>
          <w:color w:val="000000"/>
          <w:kern w:val="2"/>
          <w:sz w:val="22"/>
          <w:szCs w:val="22"/>
          <w14:ligatures w14:val="standardContextual"/>
        </w:rPr>
        <w:t xml:space="preserve">aised </w:t>
      </w:r>
      <w:r w:rsidR="000B3CAC" w:rsidRPr="00A11F37">
        <w:rPr>
          <w:rFonts w:ascii="Calibri" w:eastAsia="Calibri" w:hAnsi="Calibri" w:cs="Calibri"/>
          <w:color w:val="000000"/>
          <w:kern w:val="2"/>
          <w:sz w:val="22"/>
          <w:szCs w:val="22"/>
          <w14:ligatures w14:val="standardContextual"/>
        </w:rPr>
        <w:t xml:space="preserve">Zebra </w:t>
      </w:r>
      <w:r w:rsidR="00624697">
        <w:rPr>
          <w:rFonts w:ascii="Calibri" w:eastAsia="Calibri" w:hAnsi="Calibri" w:cs="Calibri"/>
          <w:color w:val="000000"/>
          <w:kern w:val="2"/>
          <w:sz w:val="22"/>
          <w:szCs w:val="22"/>
          <w14:ligatures w14:val="standardContextual"/>
        </w:rPr>
        <w:t xml:space="preserve">and uncontrolled </w:t>
      </w:r>
      <w:r w:rsidR="000B3CAC" w:rsidRPr="00A11F37">
        <w:rPr>
          <w:rFonts w:ascii="Calibri" w:eastAsia="Calibri" w:hAnsi="Calibri" w:cs="Calibri"/>
          <w:color w:val="000000"/>
          <w:kern w:val="2"/>
          <w:sz w:val="22"/>
          <w:szCs w:val="22"/>
          <w14:ligatures w14:val="standardContextual"/>
        </w:rPr>
        <w:t>Crossing</w:t>
      </w:r>
      <w:r w:rsidR="00624697">
        <w:rPr>
          <w:rFonts w:ascii="Calibri" w:eastAsia="Calibri" w:hAnsi="Calibri" w:cs="Calibri"/>
          <w:color w:val="000000"/>
          <w:kern w:val="2"/>
          <w:sz w:val="22"/>
          <w:szCs w:val="22"/>
          <w14:ligatures w14:val="standardContextual"/>
        </w:rPr>
        <w:t>s</w:t>
      </w:r>
      <w:r w:rsidR="000B3CAC" w:rsidRPr="00A11F37">
        <w:rPr>
          <w:rFonts w:ascii="Calibri" w:eastAsia="Calibri" w:hAnsi="Calibri" w:cs="Calibri"/>
          <w:color w:val="000000"/>
          <w:kern w:val="2"/>
          <w:sz w:val="22"/>
          <w:szCs w:val="22"/>
          <w14:ligatures w14:val="standardContextual"/>
        </w:rPr>
        <w:t xml:space="preserve"> – </w:t>
      </w:r>
      <w:r>
        <w:rPr>
          <w:rFonts w:ascii="Calibri" w:eastAsia="Calibri" w:hAnsi="Calibri" w:cs="Calibri"/>
          <w:color w:val="000000"/>
          <w:kern w:val="2"/>
          <w:sz w:val="22"/>
          <w:szCs w:val="22"/>
          <w14:ligatures w14:val="standardContextual"/>
        </w:rPr>
        <w:t>Th</w:t>
      </w:r>
      <w:r w:rsidR="00624697">
        <w:rPr>
          <w:rFonts w:ascii="Calibri" w:eastAsia="Calibri" w:hAnsi="Calibri" w:cs="Calibri"/>
          <w:color w:val="000000"/>
          <w:kern w:val="2"/>
          <w:sz w:val="22"/>
          <w:szCs w:val="22"/>
          <w14:ligatures w14:val="standardContextual"/>
        </w:rPr>
        <w:t>ese</w:t>
      </w:r>
      <w:r>
        <w:rPr>
          <w:rFonts w:ascii="Calibri" w:eastAsia="Calibri" w:hAnsi="Calibri" w:cs="Calibri"/>
          <w:color w:val="000000"/>
          <w:kern w:val="2"/>
          <w:sz w:val="22"/>
          <w:szCs w:val="22"/>
          <w14:ligatures w14:val="standardContextual"/>
        </w:rPr>
        <w:t xml:space="preserve"> will e</w:t>
      </w:r>
      <w:r w:rsidR="000B3CAC" w:rsidRPr="00A11F37">
        <w:rPr>
          <w:rFonts w:ascii="Calibri" w:eastAsia="Calibri" w:hAnsi="Calibri" w:cs="Calibri"/>
          <w:color w:val="000000"/>
          <w:kern w:val="2"/>
          <w:sz w:val="22"/>
          <w:szCs w:val="22"/>
          <w14:ligatures w14:val="standardContextual"/>
        </w:rPr>
        <w:t>nhance pedestrian safety and encourage reduced vehicle speeds.</w:t>
      </w:r>
    </w:p>
    <w:p w14:paraId="7150C33A" w14:textId="77777777" w:rsidR="000B3CAC" w:rsidRPr="002C14E8" w:rsidRDefault="000B3CAC" w:rsidP="00A11F37">
      <w:pPr>
        <w:spacing w:after="0" w:line="240" w:lineRule="auto"/>
        <w:ind w:left="0" w:firstLine="0"/>
      </w:pPr>
    </w:p>
    <w:p w14:paraId="7D4E6B3A" w14:textId="6064D047" w:rsidR="003A17E5" w:rsidRDefault="008D696E" w:rsidP="003A17E5">
      <w:pPr>
        <w:pStyle w:val="Heading2"/>
      </w:pPr>
      <w:bookmarkStart w:id="12" w:name="_Hlk193712161"/>
      <w:bookmarkStart w:id="13" w:name="_Toc204599718"/>
      <w:r w:rsidRPr="008D696E">
        <w:t>Public Road Boundaries</w:t>
      </w:r>
      <w:bookmarkEnd w:id="13"/>
    </w:p>
    <w:bookmarkEnd w:id="12"/>
    <w:p w14:paraId="2F806E9D" w14:textId="77777777" w:rsidR="008D696E" w:rsidRDefault="008D696E" w:rsidP="003A17E5"/>
    <w:p w14:paraId="339939EE" w14:textId="7E12BA42" w:rsidR="003A17E5" w:rsidRDefault="008D696E" w:rsidP="003A17E5">
      <w:r w:rsidRPr="008D696E">
        <w:t>All proposed works are within the public realm, comprising the roadway, paved areas, and adjacent public footpaths. In accordance with Section 2 of the Roads Act 1993, these areas are classified as public roads.</w:t>
      </w:r>
    </w:p>
    <w:p w14:paraId="549A556C" w14:textId="77777777" w:rsidR="00A11F37" w:rsidRDefault="00A11F37" w:rsidP="003A17E5"/>
    <w:p w14:paraId="746047A7" w14:textId="77777777" w:rsidR="00624697" w:rsidRDefault="00624697" w:rsidP="003A17E5"/>
    <w:p w14:paraId="0904F3D9" w14:textId="77777777" w:rsidR="00624697" w:rsidRPr="003A17E5" w:rsidRDefault="00624697" w:rsidP="003A17E5"/>
    <w:p w14:paraId="763FA4EE" w14:textId="4F530685" w:rsidR="008D696E" w:rsidRDefault="008D696E" w:rsidP="008D696E">
      <w:pPr>
        <w:pStyle w:val="Heading2"/>
        <w:numPr>
          <w:ilvl w:val="1"/>
          <w:numId w:val="41"/>
        </w:numPr>
      </w:pPr>
      <w:bookmarkStart w:id="14" w:name="_Toc204599719"/>
      <w:r w:rsidRPr="008D696E">
        <w:lastRenderedPageBreak/>
        <w:t>Conclusion for Stage 1</w:t>
      </w:r>
      <w:bookmarkEnd w:id="14"/>
    </w:p>
    <w:p w14:paraId="2F24CD2C" w14:textId="37C62E79" w:rsidR="00185D01" w:rsidRPr="00391EF1" w:rsidRDefault="008D696E" w:rsidP="00391EF1">
      <w:pPr>
        <w:pStyle w:val="NormalWeb"/>
        <w:rPr>
          <w:rFonts w:ascii="Calibri" w:eastAsia="Calibri" w:hAnsi="Calibri" w:cs="Calibri"/>
          <w:color w:val="000000"/>
          <w:sz w:val="22"/>
          <w:szCs w:val="22"/>
        </w:rPr>
      </w:pPr>
      <w:r w:rsidRPr="008D696E">
        <w:rPr>
          <w:rFonts w:ascii="Calibri" w:eastAsia="Calibri" w:hAnsi="Calibri" w:cs="Calibri"/>
          <w:color w:val="000000"/>
          <w:sz w:val="22"/>
          <w:szCs w:val="22"/>
        </w:rPr>
        <w:t>Based on the assessment, the proposed works meet the definition of traffic calming under Section 38(9) and are within the public road boundaries. Therefore, Section 38 is the appropriate procedural mechanism unless additional development consents or approvals are necessary.</w:t>
      </w:r>
    </w:p>
    <w:p w14:paraId="62AD4ABD" w14:textId="77777777" w:rsidR="005B268D" w:rsidRPr="00477E0E" w:rsidRDefault="005B268D" w:rsidP="00477E0E">
      <w:pPr>
        <w:spacing w:after="0"/>
        <w:ind w:left="408"/>
      </w:pPr>
    </w:p>
    <w:p w14:paraId="59E5F7FB" w14:textId="77777777" w:rsidR="008D696E" w:rsidRPr="008D696E" w:rsidRDefault="008D696E" w:rsidP="008D696E">
      <w:pPr>
        <w:pStyle w:val="Heading1"/>
      </w:pPr>
      <w:bookmarkStart w:id="15" w:name="_Toc204599720"/>
      <w:r w:rsidRPr="008D696E">
        <w:t>Stage 2: Environmental Impact Assessment (EIA) &amp; Appropriate Assessment (AA) Screening</w:t>
      </w:r>
      <w:bookmarkEnd w:id="15"/>
    </w:p>
    <w:p w14:paraId="49362D2F" w14:textId="7C625636" w:rsidR="00545495" w:rsidRPr="00DB1BB7" w:rsidRDefault="00545495" w:rsidP="008D696E">
      <w:pPr>
        <w:pStyle w:val="Heading1"/>
        <w:numPr>
          <w:ilvl w:val="0"/>
          <w:numId w:val="0"/>
        </w:numPr>
      </w:pPr>
    </w:p>
    <w:p w14:paraId="0294B145" w14:textId="77777777" w:rsidR="002471C1" w:rsidRPr="002471C1" w:rsidRDefault="0072445A" w:rsidP="002471C1">
      <w:pPr>
        <w:pStyle w:val="Heading2"/>
      </w:pPr>
      <w:bookmarkStart w:id="16" w:name="_Hlk190858668"/>
      <w:r w:rsidRPr="0072445A">
        <w:t xml:space="preserve"> </w:t>
      </w:r>
      <w:bookmarkStart w:id="17" w:name="_Toc204599721"/>
      <w:r w:rsidR="002471C1" w:rsidRPr="002471C1">
        <w:t>Environmental Impact Assessment (EIA) Screening</w:t>
      </w:r>
      <w:bookmarkEnd w:id="17"/>
    </w:p>
    <w:p w14:paraId="353025EE" w14:textId="16788D11" w:rsidR="002471C1" w:rsidRDefault="002471C1" w:rsidP="00FA5255">
      <w:r w:rsidRPr="002471C1">
        <w:t>The proposed works do not fall under the project classifications or thresholds requiring an Environmental Impact Assessment (EIA) under EU Directive 2011/92/EU:</w:t>
      </w:r>
    </w:p>
    <w:p w14:paraId="3678802A" w14:textId="77777777" w:rsidR="002471C1" w:rsidRPr="002471C1" w:rsidRDefault="002471C1" w:rsidP="002471C1">
      <w:pPr>
        <w:numPr>
          <w:ilvl w:val="0"/>
          <w:numId w:val="42"/>
        </w:numPr>
      </w:pPr>
      <w:r w:rsidRPr="002471C1">
        <w:rPr>
          <w:b/>
          <w:bCs/>
        </w:rPr>
        <w:t>Annex I Projects (EIA Mandatory)</w:t>
      </w:r>
      <w:r w:rsidRPr="002471C1">
        <w:t>:</w:t>
      </w:r>
    </w:p>
    <w:p w14:paraId="47D99357" w14:textId="77777777" w:rsidR="002471C1" w:rsidRPr="002471C1" w:rsidRDefault="002471C1" w:rsidP="002471C1">
      <w:pPr>
        <w:pStyle w:val="ListParagraph"/>
        <w:numPr>
          <w:ilvl w:val="1"/>
          <w:numId w:val="44"/>
        </w:numPr>
      </w:pPr>
      <w:r w:rsidRPr="002471C1">
        <w:t>Motorways and express roads.</w:t>
      </w:r>
    </w:p>
    <w:p w14:paraId="00F64069" w14:textId="77777777" w:rsidR="002471C1" w:rsidRPr="002471C1" w:rsidRDefault="002471C1" w:rsidP="002471C1">
      <w:pPr>
        <w:pStyle w:val="ListParagraph"/>
        <w:numPr>
          <w:ilvl w:val="1"/>
          <w:numId w:val="44"/>
        </w:numPr>
      </w:pPr>
      <w:r w:rsidRPr="002471C1">
        <w:t>Construction of a new four-lane road or widening of an existing two-lane road over 10 km.</w:t>
      </w:r>
    </w:p>
    <w:p w14:paraId="02119A6B" w14:textId="77777777" w:rsidR="002471C1" w:rsidRPr="002471C1" w:rsidRDefault="002471C1" w:rsidP="002471C1">
      <w:pPr>
        <w:numPr>
          <w:ilvl w:val="0"/>
          <w:numId w:val="42"/>
        </w:numPr>
      </w:pPr>
      <w:r w:rsidRPr="002471C1">
        <w:rPr>
          <w:b/>
          <w:bCs/>
        </w:rPr>
        <w:t>Annex II Projects (Irish Regulations for EIA Thresholds)</w:t>
      </w:r>
      <w:r w:rsidRPr="002471C1">
        <w:t>:</w:t>
      </w:r>
    </w:p>
    <w:p w14:paraId="785DBD08" w14:textId="77777777" w:rsidR="002471C1" w:rsidRPr="002471C1" w:rsidRDefault="002471C1" w:rsidP="002471C1">
      <w:pPr>
        <w:pStyle w:val="ListParagraph"/>
        <w:numPr>
          <w:ilvl w:val="1"/>
          <w:numId w:val="44"/>
        </w:numPr>
      </w:pPr>
      <w:r w:rsidRPr="002471C1">
        <w:t>Busways (not bus lanes), service areas, new bridges over 100m, tunnels over 100m.</w:t>
      </w:r>
    </w:p>
    <w:p w14:paraId="3F29D028" w14:textId="77777777" w:rsidR="002471C1" w:rsidRPr="002471C1" w:rsidRDefault="002471C1" w:rsidP="002471C1">
      <w:pPr>
        <w:pStyle w:val="ListParagraph"/>
        <w:numPr>
          <w:ilvl w:val="1"/>
          <w:numId w:val="44"/>
        </w:numPr>
      </w:pPr>
      <w:r w:rsidRPr="002471C1">
        <w:t>Four-lane road construction of 500m+ in urban areas or 8km+ in rural areas.</w:t>
      </w:r>
    </w:p>
    <w:p w14:paraId="42235D95" w14:textId="77777777" w:rsidR="002471C1" w:rsidRPr="002471C1" w:rsidRDefault="002471C1" w:rsidP="002471C1">
      <w:r w:rsidRPr="002471C1">
        <w:t>Given the limited scope and environmental impact of this project, an EIA is not required.</w:t>
      </w:r>
    </w:p>
    <w:p w14:paraId="15E6F7D5" w14:textId="77777777" w:rsidR="002471C1" w:rsidRDefault="002471C1" w:rsidP="00391EF1">
      <w:pPr>
        <w:ind w:left="0" w:firstLine="0"/>
      </w:pPr>
    </w:p>
    <w:p w14:paraId="7731B875" w14:textId="77777777" w:rsidR="002471C1" w:rsidRDefault="002471C1" w:rsidP="002471C1">
      <w:pPr>
        <w:pStyle w:val="Heading2"/>
      </w:pPr>
      <w:bookmarkStart w:id="18" w:name="_Hlk191388287"/>
      <w:bookmarkStart w:id="19" w:name="_Toc204599722"/>
      <w:bookmarkEnd w:id="16"/>
      <w:r w:rsidRPr="002471C1">
        <w:t>Appropriate Assessment (AA) Screening</w:t>
      </w:r>
      <w:bookmarkEnd w:id="19"/>
    </w:p>
    <w:p w14:paraId="0E91B90D" w14:textId="77777777" w:rsidR="00A11F37" w:rsidRDefault="00A11F37" w:rsidP="00A11F37"/>
    <w:p w14:paraId="237EA3FB" w14:textId="77777777" w:rsidR="00A11F37" w:rsidRDefault="00A11F37" w:rsidP="00A11F37">
      <w:r>
        <w:t>Whitehill Environmental carried out an AA Screening Report and the following is a summary of the report:</w:t>
      </w:r>
    </w:p>
    <w:p w14:paraId="2145DA12" w14:textId="53591BEE" w:rsidR="00A11F37" w:rsidRDefault="00A11F37" w:rsidP="00A11F37">
      <w:r>
        <w:t>It is of the opinion of the author that an AA of the proposed development is not required as it can be excluded, on the basis of objective information provided in this report, that the proposed development, individually or in combination with other plans or projects, will not have a significant effect on any European sites.</w:t>
      </w:r>
    </w:p>
    <w:p w14:paraId="3DDF9D31" w14:textId="77777777" w:rsidR="00A11F37" w:rsidRPr="00A11F37" w:rsidRDefault="00A11F37" w:rsidP="00A11F37"/>
    <w:p w14:paraId="6D07B5D9" w14:textId="6F11C7D2" w:rsidR="005B268D" w:rsidRDefault="002471C1" w:rsidP="005B268D">
      <w:pPr>
        <w:pStyle w:val="Heading1"/>
      </w:pPr>
      <w:bookmarkStart w:id="20" w:name="_Toc204599723"/>
      <w:bookmarkEnd w:id="18"/>
      <w:r w:rsidRPr="002471C1">
        <w:t>Stage 3: Planning Considerations (Part 8 of the Planning and Development Regulations, 2001)</w:t>
      </w:r>
      <w:bookmarkEnd w:id="20"/>
    </w:p>
    <w:p w14:paraId="25109CB0" w14:textId="77777777" w:rsidR="00C7244F" w:rsidRDefault="00C7244F" w:rsidP="00C7244F">
      <w:bookmarkStart w:id="21" w:name="_Hlk193789575"/>
    </w:p>
    <w:p w14:paraId="251FAA74" w14:textId="1D45E429" w:rsidR="00C7244F" w:rsidRDefault="00C7244F" w:rsidP="00C7244F">
      <w:r>
        <w:t xml:space="preserve">There are a number of exemptions from the Part 8 Procedure, with one of those exemptions relating to certain proposals under Section 38 of the Road Traffic Act 1994. </w:t>
      </w:r>
    </w:p>
    <w:p w14:paraId="0BF176A6" w14:textId="268C24FD" w:rsidR="00C7244F" w:rsidRDefault="00C7244F" w:rsidP="00C7244F">
      <w:bookmarkStart w:id="22" w:name="_Hlk204600794"/>
      <w:r>
        <w:t>“works, other than works involving road widening, to enhance public bus services or improve facilities for cyclists provided under section 95 (as amended by section 37 of the Road Traffic Act 1994) of the Road Traffic Act 1961 or under section 38 of the Road Traffic Act 1994</w:t>
      </w:r>
      <w:bookmarkEnd w:id="22"/>
      <w:r>
        <w:t xml:space="preserve">”. Accordingly, </w:t>
      </w:r>
      <w:r>
        <w:lastRenderedPageBreak/>
        <w:t>any works “to enhance public bus services or improve facilities for cyclists” which are delivered under Section 38 of the Road Traffic Act 1994, are exempted from the normal local authority Part VIII planning process.”</w:t>
      </w:r>
    </w:p>
    <w:p w14:paraId="7B3175F6" w14:textId="64DAEFC3" w:rsidR="00A779F4" w:rsidRPr="00C7244F" w:rsidRDefault="00A11F37" w:rsidP="00C7244F">
      <w:r w:rsidRPr="00A11F37">
        <w:t>Stone Park NS to Silver Birches Pedestrian and Cycle Scheme promotes improvements to cycling facilities, the scheme is therefore exempt under the legislation, a Part 8 planning process is not required.</w:t>
      </w:r>
    </w:p>
    <w:p w14:paraId="09A60238" w14:textId="7AC3736B" w:rsidR="002471C1" w:rsidRPr="00C7244F" w:rsidRDefault="002471C1" w:rsidP="00C7244F">
      <w:pPr>
        <w:pStyle w:val="NormalWeb"/>
      </w:pPr>
      <w:r w:rsidRPr="002471C1">
        <w:t>The project does not exceed the following Part 8 thresholds:</w:t>
      </w:r>
    </w:p>
    <w:p w14:paraId="40AFD006" w14:textId="77777777" w:rsidR="002471C1" w:rsidRPr="002471C1" w:rsidRDefault="002471C1" w:rsidP="002471C1">
      <w:pPr>
        <w:pStyle w:val="NormalWeb"/>
        <w:numPr>
          <w:ilvl w:val="0"/>
          <w:numId w:val="45"/>
        </w:numPr>
      </w:pPr>
      <w:r w:rsidRPr="002471C1">
        <w:t xml:space="preserve">New road construction or realignment exceeding </w:t>
      </w:r>
      <w:r w:rsidRPr="002471C1">
        <w:rPr>
          <w:rStyle w:val="Strong"/>
          <w:rFonts w:eastAsia="Calibri"/>
          <w:b w:val="0"/>
          <w:bCs w:val="0"/>
        </w:rPr>
        <w:t>100m (urban) or 1km (rural)</w:t>
      </w:r>
      <w:r w:rsidRPr="002471C1">
        <w:rPr>
          <w:b/>
          <w:bCs/>
        </w:rPr>
        <w:t>.</w:t>
      </w:r>
    </w:p>
    <w:p w14:paraId="33CC3A11" w14:textId="77777777" w:rsidR="002471C1" w:rsidRPr="002471C1" w:rsidRDefault="002471C1" w:rsidP="002471C1">
      <w:pPr>
        <w:pStyle w:val="NormalWeb"/>
        <w:numPr>
          <w:ilvl w:val="0"/>
          <w:numId w:val="45"/>
        </w:numPr>
        <w:rPr>
          <w:b/>
          <w:bCs/>
        </w:rPr>
      </w:pPr>
      <w:r w:rsidRPr="002471C1">
        <w:t xml:space="preserve">Construction of a new </w:t>
      </w:r>
      <w:r w:rsidRPr="002471C1">
        <w:rPr>
          <w:rStyle w:val="Strong"/>
          <w:rFonts w:eastAsia="Calibri"/>
          <w:b w:val="0"/>
          <w:bCs w:val="0"/>
        </w:rPr>
        <w:t>bridge or tunnel</w:t>
      </w:r>
      <w:r w:rsidRPr="002471C1">
        <w:rPr>
          <w:b/>
          <w:bCs/>
        </w:rPr>
        <w:t>.</w:t>
      </w:r>
    </w:p>
    <w:p w14:paraId="3CDC6762" w14:textId="77777777" w:rsidR="002471C1" w:rsidRPr="002471C1" w:rsidRDefault="002471C1" w:rsidP="002471C1">
      <w:pPr>
        <w:pStyle w:val="NormalWeb"/>
        <w:rPr>
          <w:b/>
          <w:bCs/>
        </w:rPr>
      </w:pPr>
      <w:r w:rsidRPr="002471C1">
        <w:t xml:space="preserve">As the works do not surpass these limits, </w:t>
      </w:r>
      <w:r w:rsidRPr="002471C1">
        <w:rPr>
          <w:rStyle w:val="Strong"/>
          <w:rFonts w:eastAsia="Calibri"/>
          <w:b w:val="0"/>
          <w:bCs w:val="0"/>
        </w:rPr>
        <w:t>a Part 8 planning process is not required</w:t>
      </w:r>
      <w:r w:rsidRPr="002471C1">
        <w:rPr>
          <w:b/>
          <w:bCs/>
        </w:rPr>
        <w:t>.</w:t>
      </w:r>
    </w:p>
    <w:p w14:paraId="188044D2" w14:textId="34C77CBA" w:rsidR="007939BC" w:rsidRDefault="002471C1" w:rsidP="00DB1BB7">
      <w:pPr>
        <w:pStyle w:val="Heading1"/>
        <w:rPr>
          <w:u w:color="000000"/>
        </w:rPr>
      </w:pPr>
      <w:bookmarkStart w:id="23" w:name="_Toc204599724"/>
      <w:bookmarkEnd w:id="21"/>
      <w:r w:rsidRPr="002471C1">
        <w:rPr>
          <w:u w:color="000000"/>
        </w:rPr>
        <w:t>Final Conclusion</w:t>
      </w:r>
      <w:bookmarkEnd w:id="23"/>
    </w:p>
    <w:p w14:paraId="0DF021A2" w14:textId="77777777" w:rsidR="002471C1" w:rsidRDefault="002471C1" w:rsidP="002471C1"/>
    <w:p w14:paraId="695A9000" w14:textId="5046F168" w:rsidR="002471C1" w:rsidRDefault="002471C1" w:rsidP="002471C1">
      <w:r>
        <w:t>The proposed works fall within the scope of Section 38 and do not require additional development consents. The project may proceed under the Section 38 procedure outlined in the October 2023 Guidance Document (Appendix 2).</w:t>
      </w:r>
    </w:p>
    <w:p w14:paraId="3FFA39C6" w14:textId="52533A53" w:rsidR="002471C1" w:rsidRDefault="002471C1" w:rsidP="002471C1">
      <w:r>
        <w:t>Furthermore, in line with Section 95 of the Road Traffic Act 1961, consultation with An Garda Síochána is required. As these works are permanent, the Standard Procedure specified in the Section 38 Guidance Document should be followed.</w:t>
      </w:r>
    </w:p>
    <w:p w14:paraId="22DBA668" w14:textId="7B577E72" w:rsidR="005443F1" w:rsidRPr="008430DF" w:rsidRDefault="00391EF1" w:rsidP="006F3A21">
      <w:r>
        <w:t xml:space="preserve">As these works are to be in the form of Permanent Works, then the </w:t>
      </w:r>
      <w:r w:rsidRPr="00391EF1">
        <w:rPr>
          <w:b/>
          <w:bCs/>
        </w:rPr>
        <w:t>Standard Procedure</w:t>
      </w:r>
      <w:r>
        <w:t xml:space="preserve"> as outlined in the Section 38 Guidance Document is the appropriate procedure.</w:t>
      </w:r>
    </w:p>
    <w:p w14:paraId="71D8AFA5" w14:textId="1B2B42A0" w:rsidR="001B6B3B" w:rsidRDefault="00391EF1" w:rsidP="005E29D5">
      <w:pPr>
        <w:pStyle w:val="Heading1"/>
      </w:pPr>
      <w:bookmarkStart w:id="24" w:name="_Hlk191292447"/>
      <w:bookmarkStart w:id="25" w:name="_Toc204599725"/>
      <w:r w:rsidRPr="00391EF1">
        <w:t>Recording of this Determination</w:t>
      </w:r>
      <w:bookmarkEnd w:id="25"/>
    </w:p>
    <w:bookmarkEnd w:id="24"/>
    <w:p w14:paraId="35CBA274" w14:textId="77777777" w:rsidR="00391EF1" w:rsidRDefault="00391EF1" w:rsidP="00391EF1"/>
    <w:p w14:paraId="3FE1DC08" w14:textId="12969480" w:rsidR="00391EF1" w:rsidRDefault="00391EF1" w:rsidP="00391EF1">
      <w:r>
        <w:t xml:space="preserve">It is necessary to record this formal determination of the suitability of Section 38 Procedure and therefore I request that this decision should be recorded in a formal decision record and published on the local authority’s website. This allows the public to become aware that such a decision has been taken in respect of the applicable proposal. </w:t>
      </w:r>
    </w:p>
    <w:p w14:paraId="58E45211" w14:textId="60241F92" w:rsidR="008F7D3D" w:rsidRDefault="00391EF1" w:rsidP="00391EF1">
      <w:r>
        <w:t>I so recommend,</w:t>
      </w:r>
    </w:p>
    <w:p w14:paraId="0508AA38" w14:textId="77777777" w:rsidR="00FC5D4D" w:rsidRDefault="00FC5D4D" w:rsidP="00FC5D4D">
      <w:pPr>
        <w:pStyle w:val="NormalWeb"/>
      </w:pPr>
      <w:bookmarkStart w:id="26" w:name="_Hlk193902846"/>
      <w:r>
        <w:t xml:space="preserve">Signed: </w:t>
      </w:r>
      <w:r w:rsidRPr="00916FCD">
        <w:rPr>
          <w:noProof/>
          <w:u w:val="single"/>
        </w:rPr>
        <w:drawing>
          <wp:inline distT="0" distB="0" distL="0" distR="0" wp14:anchorId="002177C7" wp14:editId="1EFCB203">
            <wp:extent cx="1676400" cy="34780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6281" cy="368523"/>
                    </a:xfrm>
                    <a:prstGeom prst="rect">
                      <a:avLst/>
                    </a:prstGeom>
                  </pic:spPr>
                </pic:pic>
              </a:graphicData>
            </a:graphic>
          </wp:inline>
        </w:drawing>
      </w:r>
    </w:p>
    <w:p w14:paraId="3876CBBC" w14:textId="77777777" w:rsidR="00FC5D4D" w:rsidRDefault="00FC5D4D" w:rsidP="00FC5D4D">
      <w:pPr>
        <w:pStyle w:val="NormalWeb"/>
        <w:spacing w:before="0" w:beforeAutospacing="0" w:after="0" w:afterAutospacing="0"/>
        <w:ind w:left="902"/>
      </w:pPr>
      <w:r>
        <w:t>Brian Kelly Senior Executive Engineer –</w:t>
      </w:r>
    </w:p>
    <w:p w14:paraId="4072B746" w14:textId="77777777" w:rsidR="00FC5D4D" w:rsidRDefault="00FC5D4D" w:rsidP="00FC5D4D">
      <w:pPr>
        <w:pStyle w:val="NormalWeb"/>
        <w:spacing w:before="0" w:beforeAutospacing="0" w:after="0" w:afterAutospacing="0"/>
        <w:ind w:left="902"/>
      </w:pPr>
      <w:r>
        <w:t xml:space="preserve">Active Travel Section, </w:t>
      </w:r>
    </w:p>
    <w:p w14:paraId="0BEDD951" w14:textId="77777777" w:rsidR="00FC5D4D" w:rsidRDefault="00FC5D4D" w:rsidP="00FC5D4D">
      <w:pPr>
        <w:pStyle w:val="NormalWeb"/>
        <w:spacing w:before="0" w:beforeAutospacing="0" w:after="0" w:afterAutospacing="0"/>
        <w:ind w:left="902"/>
      </w:pPr>
      <w:r>
        <w:t xml:space="preserve">Longford County Council. </w:t>
      </w:r>
    </w:p>
    <w:p w14:paraId="3EB6A695" w14:textId="2622E745" w:rsidR="00FC5D4D" w:rsidRDefault="003C4074" w:rsidP="00FC5D4D">
      <w:pPr>
        <w:pStyle w:val="NormalWeb"/>
        <w:ind w:left="900"/>
      </w:pPr>
      <w:r>
        <w:t>xxx</w:t>
      </w:r>
      <w:r w:rsidR="000C2A7D">
        <w:t>th</w:t>
      </w:r>
      <w:r w:rsidR="00FC5D4D">
        <w:t xml:space="preserve"> </w:t>
      </w:r>
      <w:r w:rsidR="00A11F37">
        <w:t>July</w:t>
      </w:r>
      <w:r w:rsidR="00FC5D4D">
        <w:t xml:space="preserve"> 2025</w:t>
      </w:r>
    </w:p>
    <w:bookmarkEnd w:id="26"/>
    <w:p w14:paraId="3CF0D235" w14:textId="19129C3E" w:rsidR="00005FE7" w:rsidRPr="00005FE7" w:rsidRDefault="00005FE7" w:rsidP="00005FE7">
      <w:pPr>
        <w:pStyle w:val="NormalWeb"/>
      </w:pPr>
    </w:p>
    <w:p w14:paraId="6F015448" w14:textId="27642596" w:rsidR="007D7A39" w:rsidRDefault="007D7A39">
      <w:pPr>
        <w:spacing w:after="0"/>
        <w:ind w:left="0" w:firstLine="0"/>
      </w:pPr>
    </w:p>
    <w:sectPr w:rsidR="007D7A39" w:rsidSect="00C274E1">
      <w:headerReference w:type="default" r:id="rId10"/>
      <w:footerReference w:type="default" r:id="rId11"/>
      <w:pgSz w:w="11904"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95ED6" w14:textId="77777777" w:rsidR="00EA7BC6" w:rsidRDefault="00EA7BC6" w:rsidP="00BE6B47">
      <w:pPr>
        <w:spacing w:after="0" w:line="240" w:lineRule="auto"/>
      </w:pPr>
      <w:r>
        <w:separator/>
      </w:r>
    </w:p>
  </w:endnote>
  <w:endnote w:type="continuationSeparator" w:id="0">
    <w:p w14:paraId="4087CAEE" w14:textId="77777777" w:rsidR="00EA7BC6" w:rsidRDefault="00EA7BC6" w:rsidP="00BE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433783"/>
      <w:docPartObj>
        <w:docPartGallery w:val="Page Numbers (Bottom of Page)"/>
        <w:docPartUnique/>
      </w:docPartObj>
    </w:sdtPr>
    <w:sdtEndPr>
      <w:rPr>
        <w:color w:val="7F7F7F" w:themeColor="background1" w:themeShade="7F"/>
        <w:spacing w:val="60"/>
      </w:rPr>
    </w:sdtEndPr>
    <w:sdtContent>
      <w:p w14:paraId="49187125" w14:textId="6AE08023" w:rsidR="008F7D3D" w:rsidRDefault="008F7D3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D64D609" w14:textId="77777777" w:rsidR="008F7D3D" w:rsidRDefault="008F7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E0CB7" w14:textId="77777777" w:rsidR="00EA7BC6" w:rsidRDefault="00EA7BC6" w:rsidP="00BE6B47">
      <w:pPr>
        <w:spacing w:after="0" w:line="240" w:lineRule="auto"/>
      </w:pPr>
      <w:r>
        <w:separator/>
      </w:r>
    </w:p>
  </w:footnote>
  <w:footnote w:type="continuationSeparator" w:id="0">
    <w:p w14:paraId="4852D96A" w14:textId="77777777" w:rsidR="00EA7BC6" w:rsidRDefault="00EA7BC6" w:rsidP="00BE6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4AA1" w14:textId="058426DF" w:rsidR="00995C94" w:rsidRDefault="00EC1FAC" w:rsidP="00812C3E">
    <w:pPr>
      <w:pStyle w:val="Header"/>
      <w:rPr>
        <w:lang w:val="en-GB"/>
      </w:rPr>
    </w:pPr>
    <w:r w:rsidRPr="00EC1FAC">
      <w:rPr>
        <w:lang w:val="en-GB"/>
      </w:rPr>
      <w:t xml:space="preserve">Active Travel Scheme LD/24/0003 </w:t>
    </w:r>
    <w:bookmarkStart w:id="27" w:name="_Hlk202256914"/>
    <w:r w:rsidRPr="00EC1FAC">
      <w:rPr>
        <w:lang w:val="en-GB"/>
      </w:rPr>
      <w:t>Stone Park NS to Silver Birches Pedestrian and Cycle Scheme.</w:t>
    </w:r>
    <w:bookmarkEnd w:id="27"/>
    <w:r w:rsidR="008F7D3D">
      <w:rPr>
        <w:noProof/>
      </w:rPr>
      <w:drawing>
        <wp:anchor distT="0" distB="0" distL="114300" distR="114300" simplePos="0" relativeHeight="251658240" behindDoc="0" locked="0" layoutInCell="1" allowOverlap="1" wp14:anchorId="0EB4A0DE" wp14:editId="7E432938">
          <wp:simplePos x="0" y="0"/>
          <wp:positionH relativeFrom="column">
            <wp:posOffset>0</wp:posOffset>
          </wp:positionH>
          <wp:positionV relativeFrom="paragraph">
            <wp:posOffset>0</wp:posOffset>
          </wp:positionV>
          <wp:extent cx="809625" cy="351790"/>
          <wp:effectExtent l="0" t="0" r="9525"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9625" cy="351790"/>
                  </a:xfrm>
                  <a:prstGeom prst="rect">
                    <a:avLst/>
                  </a:prstGeom>
                  <a:noFill/>
                  <a:ln>
                    <a:noFill/>
                  </a:ln>
                </pic:spPr>
              </pic:pic>
            </a:graphicData>
          </a:graphic>
        </wp:anchor>
      </w:drawing>
    </w:r>
  </w:p>
  <w:p w14:paraId="3A5A796A" w14:textId="77777777" w:rsidR="00995C94" w:rsidRPr="00CA2B7F" w:rsidRDefault="00995C94" w:rsidP="00995C94">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1C1C"/>
    <w:multiLevelType w:val="multilevel"/>
    <w:tmpl w:val="421CC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063A0"/>
    <w:multiLevelType w:val="multilevel"/>
    <w:tmpl w:val="1C8472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24FE1"/>
    <w:multiLevelType w:val="multilevel"/>
    <w:tmpl w:val="61323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D11927"/>
    <w:multiLevelType w:val="multilevel"/>
    <w:tmpl w:val="3CCCB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0B7562"/>
    <w:multiLevelType w:val="multilevel"/>
    <w:tmpl w:val="1F98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C02A04"/>
    <w:multiLevelType w:val="multilevel"/>
    <w:tmpl w:val="2ABE3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463AEE"/>
    <w:multiLevelType w:val="multilevel"/>
    <w:tmpl w:val="A6BC2BF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7C0459"/>
    <w:multiLevelType w:val="multilevel"/>
    <w:tmpl w:val="00A2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9E20AF"/>
    <w:multiLevelType w:val="hybridMultilevel"/>
    <w:tmpl w:val="2634E900"/>
    <w:lvl w:ilvl="0" w:tplc="30FA3734">
      <w:start w:val="1"/>
      <w:numFmt w:val="decimal"/>
      <w:pStyle w:val="Heading4"/>
      <w:lvlText w:val="5.3.%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8964E63"/>
    <w:multiLevelType w:val="multilevel"/>
    <w:tmpl w:val="05A84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46F49"/>
    <w:multiLevelType w:val="multilevel"/>
    <w:tmpl w:val="79F4F1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474D95"/>
    <w:multiLevelType w:val="hybridMultilevel"/>
    <w:tmpl w:val="2F80A104"/>
    <w:lvl w:ilvl="0" w:tplc="AEF47B2C">
      <w:start w:val="1"/>
      <w:numFmt w:val="decimal"/>
      <w:pStyle w:val="Heading6"/>
      <w:lvlText w:val="5.4.%1"/>
      <w:lvlJc w:val="left"/>
      <w:pPr>
        <w:ind w:left="1145" w:hanging="360"/>
      </w:pPr>
    </w:lvl>
    <w:lvl w:ilvl="1" w:tplc="18090019" w:tentative="1">
      <w:start w:val="1"/>
      <w:numFmt w:val="lowerLetter"/>
      <w:lvlText w:val="%2."/>
      <w:lvlJc w:val="left"/>
      <w:pPr>
        <w:ind w:left="1865" w:hanging="360"/>
      </w:pPr>
    </w:lvl>
    <w:lvl w:ilvl="2" w:tplc="1809001B" w:tentative="1">
      <w:start w:val="1"/>
      <w:numFmt w:val="lowerRoman"/>
      <w:lvlText w:val="%3."/>
      <w:lvlJc w:val="right"/>
      <w:pPr>
        <w:ind w:left="2585" w:hanging="180"/>
      </w:pPr>
    </w:lvl>
    <w:lvl w:ilvl="3" w:tplc="1809000F" w:tentative="1">
      <w:start w:val="1"/>
      <w:numFmt w:val="decimal"/>
      <w:lvlText w:val="%4."/>
      <w:lvlJc w:val="left"/>
      <w:pPr>
        <w:ind w:left="3305" w:hanging="360"/>
      </w:pPr>
    </w:lvl>
    <w:lvl w:ilvl="4" w:tplc="18090019" w:tentative="1">
      <w:start w:val="1"/>
      <w:numFmt w:val="lowerLetter"/>
      <w:lvlText w:val="%5."/>
      <w:lvlJc w:val="left"/>
      <w:pPr>
        <w:ind w:left="4025" w:hanging="360"/>
      </w:pPr>
    </w:lvl>
    <w:lvl w:ilvl="5" w:tplc="1809001B" w:tentative="1">
      <w:start w:val="1"/>
      <w:numFmt w:val="lowerRoman"/>
      <w:lvlText w:val="%6."/>
      <w:lvlJc w:val="right"/>
      <w:pPr>
        <w:ind w:left="4745" w:hanging="180"/>
      </w:pPr>
    </w:lvl>
    <w:lvl w:ilvl="6" w:tplc="1809000F" w:tentative="1">
      <w:start w:val="1"/>
      <w:numFmt w:val="decimal"/>
      <w:lvlText w:val="%7."/>
      <w:lvlJc w:val="left"/>
      <w:pPr>
        <w:ind w:left="5465" w:hanging="360"/>
      </w:pPr>
    </w:lvl>
    <w:lvl w:ilvl="7" w:tplc="18090019" w:tentative="1">
      <w:start w:val="1"/>
      <w:numFmt w:val="lowerLetter"/>
      <w:lvlText w:val="%8."/>
      <w:lvlJc w:val="left"/>
      <w:pPr>
        <w:ind w:left="6185" w:hanging="360"/>
      </w:pPr>
    </w:lvl>
    <w:lvl w:ilvl="8" w:tplc="1809001B" w:tentative="1">
      <w:start w:val="1"/>
      <w:numFmt w:val="lowerRoman"/>
      <w:lvlText w:val="%9."/>
      <w:lvlJc w:val="right"/>
      <w:pPr>
        <w:ind w:left="6905" w:hanging="180"/>
      </w:pPr>
    </w:lvl>
  </w:abstractNum>
  <w:abstractNum w:abstractNumId="12" w15:restartNumberingAfterBreak="0">
    <w:nsid w:val="417F6974"/>
    <w:multiLevelType w:val="multilevel"/>
    <w:tmpl w:val="1C8472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F3611D"/>
    <w:multiLevelType w:val="hybridMultilevel"/>
    <w:tmpl w:val="CA6C061E"/>
    <w:lvl w:ilvl="0" w:tplc="0106C33C">
      <w:start w:val="1"/>
      <w:numFmt w:val="decimal"/>
      <w:pStyle w:val="Heading7"/>
      <w:lvlText w:val="5.6.%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7891527"/>
    <w:multiLevelType w:val="hybridMultilevel"/>
    <w:tmpl w:val="C06A2B6C"/>
    <w:lvl w:ilvl="0" w:tplc="426CA596">
      <w:start w:val="1"/>
      <w:numFmt w:val="decimal"/>
      <w:pStyle w:val="Heading5"/>
      <w:lvlText w:val="5.3.%1"/>
      <w:lvlJc w:val="left"/>
      <w:pPr>
        <w:ind w:left="64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A7E13BD"/>
    <w:multiLevelType w:val="multilevel"/>
    <w:tmpl w:val="8AC8A0FC"/>
    <w:lvl w:ilvl="0">
      <w:start w:val="1"/>
      <w:numFmt w:val="decimal"/>
      <w:pStyle w:val="Heading1"/>
      <w:lvlText w:val="%1"/>
      <w:lvlJc w:val="left"/>
      <w:pPr>
        <w:ind w:left="360" w:hanging="360"/>
      </w:pPr>
      <w:rPr>
        <w:rFonts w:hint="default"/>
        <w:b/>
        <w:bCs/>
        <w:sz w:val="28"/>
        <w:szCs w:val="28"/>
      </w:rPr>
    </w:lvl>
    <w:lvl w:ilvl="1">
      <w:start w:val="1"/>
      <w:numFmt w:val="decimal"/>
      <w:pStyle w:val="Heading2"/>
      <w:lvlText w:val="%1.%2"/>
      <w:lvlJc w:val="left"/>
      <w:pPr>
        <w:ind w:left="360" w:hanging="360"/>
      </w:pPr>
      <w:rPr>
        <w:rFonts w:hint="default"/>
        <w:b/>
        <w:bCs/>
        <w:color w:val="auto"/>
        <w:sz w:val="24"/>
        <w:szCs w:val="24"/>
      </w:rPr>
    </w:lvl>
    <w:lvl w:ilvl="2">
      <w:start w:val="1"/>
      <w:numFmt w:val="decimal"/>
      <w:lvlText w:val="%1.%2.%3"/>
      <w:lvlJc w:val="left"/>
      <w:pPr>
        <w:ind w:left="816" w:hanging="720"/>
      </w:pPr>
      <w:rPr>
        <w:rFonts w:hint="default"/>
        <w:b w:val="0"/>
        <w:bCs w:val="0"/>
      </w:rPr>
    </w:lvl>
    <w:lvl w:ilvl="3">
      <w:start w:val="1"/>
      <w:numFmt w:val="decimal"/>
      <w:lvlText w:val="%1.%2.%3.%4"/>
      <w:lvlJc w:val="left"/>
      <w:pPr>
        <w:ind w:left="1224" w:hanging="108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680" w:hanging="144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2136" w:hanging="1800"/>
      </w:pPr>
      <w:rPr>
        <w:rFonts w:hint="default"/>
      </w:rPr>
    </w:lvl>
    <w:lvl w:ilvl="8">
      <w:start w:val="1"/>
      <w:numFmt w:val="decimal"/>
      <w:lvlText w:val="%1.%2.%3.%4.%5.%6.%7.%8.%9"/>
      <w:lvlJc w:val="left"/>
      <w:pPr>
        <w:ind w:left="2544" w:hanging="2160"/>
      </w:pPr>
      <w:rPr>
        <w:rFonts w:hint="default"/>
      </w:rPr>
    </w:lvl>
  </w:abstractNum>
  <w:abstractNum w:abstractNumId="16" w15:restartNumberingAfterBreak="0">
    <w:nsid w:val="4CFC317A"/>
    <w:multiLevelType w:val="hybridMultilevel"/>
    <w:tmpl w:val="C07A90F8"/>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7" w15:restartNumberingAfterBreak="0">
    <w:nsid w:val="50EF1E00"/>
    <w:multiLevelType w:val="multilevel"/>
    <w:tmpl w:val="280C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8C3E84"/>
    <w:multiLevelType w:val="hybridMultilevel"/>
    <w:tmpl w:val="2F786EB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57C43EA0"/>
    <w:multiLevelType w:val="hybridMultilevel"/>
    <w:tmpl w:val="8A404C1A"/>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0" w15:restartNumberingAfterBreak="0">
    <w:nsid w:val="627E37BE"/>
    <w:multiLevelType w:val="hybridMultilevel"/>
    <w:tmpl w:val="3732F24E"/>
    <w:lvl w:ilvl="0" w:tplc="3930415E">
      <w:start w:val="1"/>
      <w:numFmt w:val="decimal"/>
      <w:pStyle w:val="Heading3"/>
      <w:lvlText w:val="5.2.%1"/>
      <w:lvlJc w:val="left"/>
      <w:pPr>
        <w:ind w:left="643"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2EE1884"/>
    <w:multiLevelType w:val="multilevel"/>
    <w:tmpl w:val="7248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961517"/>
    <w:multiLevelType w:val="hybridMultilevel"/>
    <w:tmpl w:val="CD444C52"/>
    <w:lvl w:ilvl="0" w:tplc="A25067E8">
      <w:start w:val="1"/>
      <w:numFmt w:val="decimal"/>
      <w:lvlText w:val="5.4.%1"/>
      <w:lvlJc w:val="left"/>
      <w:pPr>
        <w:ind w:left="1145" w:hanging="360"/>
      </w:pPr>
      <w:rPr>
        <w:rFonts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3" w15:restartNumberingAfterBreak="0">
    <w:nsid w:val="6D8C6D7A"/>
    <w:multiLevelType w:val="multilevel"/>
    <w:tmpl w:val="1C8472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B4540E"/>
    <w:multiLevelType w:val="multilevel"/>
    <w:tmpl w:val="D182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2C2C21"/>
    <w:multiLevelType w:val="multilevel"/>
    <w:tmpl w:val="72489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C113FF"/>
    <w:multiLevelType w:val="hybridMultilevel"/>
    <w:tmpl w:val="C33EA644"/>
    <w:lvl w:ilvl="0" w:tplc="44BEA9EC">
      <w:start w:val="1"/>
      <w:numFmt w:val="decimal"/>
      <w:pStyle w:val="Heading8"/>
      <w:lvlText w:val="6.3.%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2F44F1D"/>
    <w:multiLevelType w:val="multilevel"/>
    <w:tmpl w:val="B03C7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6E51B4"/>
    <w:multiLevelType w:val="multilevel"/>
    <w:tmpl w:val="50F41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296DDA"/>
    <w:multiLevelType w:val="multilevel"/>
    <w:tmpl w:val="4080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3841053">
    <w:abstractNumId w:val="15"/>
  </w:num>
  <w:num w:numId="2" w16cid:durableId="1479154353">
    <w:abstractNumId w:val="18"/>
  </w:num>
  <w:num w:numId="3" w16cid:durableId="132870140">
    <w:abstractNumId w:val="20"/>
  </w:num>
  <w:num w:numId="4" w16cid:durableId="113914860">
    <w:abstractNumId w:val="8"/>
  </w:num>
  <w:num w:numId="5" w16cid:durableId="606431605">
    <w:abstractNumId w:val="14"/>
  </w:num>
  <w:num w:numId="6" w16cid:durableId="2091736361">
    <w:abstractNumId w:val="11"/>
  </w:num>
  <w:num w:numId="7" w16cid:durableId="1315721901">
    <w:abstractNumId w:val="22"/>
  </w:num>
  <w:num w:numId="8" w16cid:durableId="1176724198">
    <w:abstractNumId w:val="11"/>
  </w:num>
  <w:num w:numId="9" w16cid:durableId="574895012">
    <w:abstractNumId w:val="11"/>
  </w:num>
  <w:num w:numId="10" w16cid:durableId="1166674673">
    <w:abstractNumId w:val="24"/>
  </w:num>
  <w:num w:numId="11" w16cid:durableId="1087310866">
    <w:abstractNumId w:val="28"/>
  </w:num>
  <w:num w:numId="12" w16cid:durableId="2114938959">
    <w:abstractNumId w:val="15"/>
  </w:num>
  <w:num w:numId="13" w16cid:durableId="1028985916">
    <w:abstractNumId w:val="15"/>
  </w:num>
  <w:num w:numId="14" w16cid:durableId="1821775375">
    <w:abstractNumId w:val="15"/>
  </w:num>
  <w:num w:numId="15" w16cid:durableId="1094742786">
    <w:abstractNumId w:val="15"/>
  </w:num>
  <w:num w:numId="16" w16cid:durableId="718434568">
    <w:abstractNumId w:val="11"/>
  </w:num>
  <w:num w:numId="17" w16cid:durableId="1726568288">
    <w:abstractNumId w:val="13"/>
  </w:num>
  <w:num w:numId="18" w16cid:durableId="1684358613">
    <w:abstractNumId w:val="16"/>
  </w:num>
  <w:num w:numId="19" w16cid:durableId="907350763">
    <w:abstractNumId w:val="26"/>
  </w:num>
  <w:num w:numId="20" w16cid:durableId="637495424">
    <w:abstractNumId w:val="26"/>
  </w:num>
  <w:num w:numId="21" w16cid:durableId="182322747">
    <w:abstractNumId w:val="15"/>
  </w:num>
  <w:num w:numId="22" w16cid:durableId="262735062">
    <w:abstractNumId w:val="4"/>
  </w:num>
  <w:num w:numId="23" w16cid:durableId="1855873878">
    <w:abstractNumId w:val="15"/>
  </w:num>
  <w:num w:numId="24" w16cid:durableId="906839269">
    <w:abstractNumId w:val="15"/>
  </w:num>
  <w:num w:numId="25" w16cid:durableId="728651870">
    <w:abstractNumId w:val="15"/>
  </w:num>
  <w:num w:numId="26" w16cid:durableId="1130979880">
    <w:abstractNumId w:val="15"/>
  </w:num>
  <w:num w:numId="27" w16cid:durableId="1305502132">
    <w:abstractNumId w:val="15"/>
  </w:num>
  <w:num w:numId="28" w16cid:durableId="537350640">
    <w:abstractNumId w:val="15"/>
  </w:num>
  <w:num w:numId="29" w16cid:durableId="621422275">
    <w:abstractNumId w:val="15"/>
  </w:num>
  <w:num w:numId="30" w16cid:durableId="1212691552">
    <w:abstractNumId w:val="15"/>
  </w:num>
  <w:num w:numId="31" w16cid:durableId="1472287619">
    <w:abstractNumId w:val="17"/>
  </w:num>
  <w:num w:numId="32" w16cid:durableId="1905525609">
    <w:abstractNumId w:val="7"/>
  </w:num>
  <w:num w:numId="33" w16cid:durableId="1131021375">
    <w:abstractNumId w:val="3"/>
  </w:num>
  <w:num w:numId="34" w16cid:durableId="724640279">
    <w:abstractNumId w:val="5"/>
  </w:num>
  <w:num w:numId="35" w16cid:durableId="666977036">
    <w:abstractNumId w:val="29"/>
  </w:num>
  <w:num w:numId="36" w16cid:durableId="1974290473">
    <w:abstractNumId w:val="27"/>
  </w:num>
  <w:num w:numId="37" w16cid:durableId="960457045">
    <w:abstractNumId w:val="0"/>
  </w:num>
  <w:num w:numId="38" w16cid:durableId="789471899">
    <w:abstractNumId w:val="15"/>
  </w:num>
  <w:num w:numId="39" w16cid:durableId="937130592">
    <w:abstractNumId w:val="2"/>
  </w:num>
  <w:num w:numId="40" w16cid:durableId="15412800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057320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50829779">
    <w:abstractNumId w:val="25"/>
  </w:num>
  <w:num w:numId="43" w16cid:durableId="148403857">
    <w:abstractNumId w:val="19"/>
  </w:num>
  <w:num w:numId="44" w16cid:durableId="1023173068">
    <w:abstractNumId w:val="23"/>
  </w:num>
  <w:num w:numId="45" w16cid:durableId="691491359">
    <w:abstractNumId w:val="21"/>
  </w:num>
  <w:num w:numId="46" w16cid:durableId="298190136">
    <w:abstractNumId w:val="10"/>
  </w:num>
  <w:num w:numId="47" w16cid:durableId="601110015">
    <w:abstractNumId w:val="12"/>
  </w:num>
  <w:num w:numId="48" w16cid:durableId="1963802995">
    <w:abstractNumId w:val="1"/>
  </w:num>
  <w:num w:numId="49" w16cid:durableId="368996405">
    <w:abstractNumId w:val="9"/>
  </w:num>
  <w:num w:numId="50" w16cid:durableId="24735221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C64"/>
    <w:rsid w:val="0000094C"/>
    <w:rsid w:val="00001105"/>
    <w:rsid w:val="00003B67"/>
    <w:rsid w:val="00005D3C"/>
    <w:rsid w:val="00005FE7"/>
    <w:rsid w:val="000122D4"/>
    <w:rsid w:val="0003493B"/>
    <w:rsid w:val="00034E7E"/>
    <w:rsid w:val="00043EE4"/>
    <w:rsid w:val="00044CBB"/>
    <w:rsid w:val="00063CFE"/>
    <w:rsid w:val="00066847"/>
    <w:rsid w:val="00072198"/>
    <w:rsid w:val="00084FB1"/>
    <w:rsid w:val="00085C4B"/>
    <w:rsid w:val="00090C27"/>
    <w:rsid w:val="00092A7B"/>
    <w:rsid w:val="000968A7"/>
    <w:rsid w:val="000B3CAC"/>
    <w:rsid w:val="000C2A7D"/>
    <w:rsid w:val="000C2C64"/>
    <w:rsid w:val="000F2182"/>
    <w:rsid w:val="000F3C02"/>
    <w:rsid w:val="001007D6"/>
    <w:rsid w:val="00123E4D"/>
    <w:rsid w:val="00124831"/>
    <w:rsid w:val="00125705"/>
    <w:rsid w:val="00127E56"/>
    <w:rsid w:val="0013278A"/>
    <w:rsid w:val="001367AD"/>
    <w:rsid w:val="00140978"/>
    <w:rsid w:val="00141F29"/>
    <w:rsid w:val="0016327D"/>
    <w:rsid w:val="0017224A"/>
    <w:rsid w:val="00185D01"/>
    <w:rsid w:val="00190B45"/>
    <w:rsid w:val="001A3677"/>
    <w:rsid w:val="001B6B3B"/>
    <w:rsid w:val="001C2784"/>
    <w:rsid w:val="001C57CB"/>
    <w:rsid w:val="001D041A"/>
    <w:rsid w:val="001D456A"/>
    <w:rsid w:val="00220C84"/>
    <w:rsid w:val="002238A7"/>
    <w:rsid w:val="00226CD4"/>
    <w:rsid w:val="00231F0E"/>
    <w:rsid w:val="00245961"/>
    <w:rsid w:val="002471C1"/>
    <w:rsid w:val="00255B0A"/>
    <w:rsid w:val="00275DD6"/>
    <w:rsid w:val="00284526"/>
    <w:rsid w:val="00286AF6"/>
    <w:rsid w:val="00286D51"/>
    <w:rsid w:val="00294C62"/>
    <w:rsid w:val="002B2BB3"/>
    <w:rsid w:val="002B3B4E"/>
    <w:rsid w:val="002C0368"/>
    <w:rsid w:val="002C09C9"/>
    <w:rsid w:val="002C0FC6"/>
    <w:rsid w:val="002C14E8"/>
    <w:rsid w:val="002C5295"/>
    <w:rsid w:val="002E119E"/>
    <w:rsid w:val="002E17D8"/>
    <w:rsid w:val="00303090"/>
    <w:rsid w:val="00325364"/>
    <w:rsid w:val="00335FD7"/>
    <w:rsid w:val="003543B1"/>
    <w:rsid w:val="003574EB"/>
    <w:rsid w:val="00360B3E"/>
    <w:rsid w:val="00361815"/>
    <w:rsid w:val="00373691"/>
    <w:rsid w:val="003856AF"/>
    <w:rsid w:val="00391EF1"/>
    <w:rsid w:val="00394CE5"/>
    <w:rsid w:val="0039693F"/>
    <w:rsid w:val="003A17E5"/>
    <w:rsid w:val="003A7FD5"/>
    <w:rsid w:val="003C4074"/>
    <w:rsid w:val="003C4878"/>
    <w:rsid w:val="003D5141"/>
    <w:rsid w:val="003D79BC"/>
    <w:rsid w:val="003E20B0"/>
    <w:rsid w:val="003E3781"/>
    <w:rsid w:val="0040051E"/>
    <w:rsid w:val="00404C31"/>
    <w:rsid w:val="0041445C"/>
    <w:rsid w:val="00422A1F"/>
    <w:rsid w:val="0042481F"/>
    <w:rsid w:val="00456846"/>
    <w:rsid w:val="00460BD1"/>
    <w:rsid w:val="00460F9D"/>
    <w:rsid w:val="0047697B"/>
    <w:rsid w:val="00477E0E"/>
    <w:rsid w:val="0048156F"/>
    <w:rsid w:val="004A7FFE"/>
    <w:rsid w:val="004B067C"/>
    <w:rsid w:val="004C1A82"/>
    <w:rsid w:val="004E18AD"/>
    <w:rsid w:val="004F2BB1"/>
    <w:rsid w:val="004F2E03"/>
    <w:rsid w:val="004F6BCD"/>
    <w:rsid w:val="00500975"/>
    <w:rsid w:val="0050289B"/>
    <w:rsid w:val="00506F50"/>
    <w:rsid w:val="00513385"/>
    <w:rsid w:val="00543421"/>
    <w:rsid w:val="005443F1"/>
    <w:rsid w:val="005452FC"/>
    <w:rsid w:val="00545495"/>
    <w:rsid w:val="005630A7"/>
    <w:rsid w:val="00565F9A"/>
    <w:rsid w:val="00571103"/>
    <w:rsid w:val="005824A9"/>
    <w:rsid w:val="0059066F"/>
    <w:rsid w:val="00596332"/>
    <w:rsid w:val="005B151C"/>
    <w:rsid w:val="005B268D"/>
    <w:rsid w:val="005D01A6"/>
    <w:rsid w:val="005D3A93"/>
    <w:rsid w:val="005D7C00"/>
    <w:rsid w:val="005E29D5"/>
    <w:rsid w:val="005E4AD9"/>
    <w:rsid w:val="005F2566"/>
    <w:rsid w:val="006109A7"/>
    <w:rsid w:val="00624697"/>
    <w:rsid w:val="006359B6"/>
    <w:rsid w:val="00640E36"/>
    <w:rsid w:val="006558D9"/>
    <w:rsid w:val="006645DA"/>
    <w:rsid w:val="00664F84"/>
    <w:rsid w:val="006818BF"/>
    <w:rsid w:val="006878BA"/>
    <w:rsid w:val="00691A94"/>
    <w:rsid w:val="006A39A5"/>
    <w:rsid w:val="006C769D"/>
    <w:rsid w:val="006E390F"/>
    <w:rsid w:val="006F2B81"/>
    <w:rsid w:val="006F3A21"/>
    <w:rsid w:val="0072445A"/>
    <w:rsid w:val="00730A35"/>
    <w:rsid w:val="007349DD"/>
    <w:rsid w:val="007379AD"/>
    <w:rsid w:val="007413A6"/>
    <w:rsid w:val="00741F08"/>
    <w:rsid w:val="00742085"/>
    <w:rsid w:val="00746116"/>
    <w:rsid w:val="00752D12"/>
    <w:rsid w:val="007606B1"/>
    <w:rsid w:val="00770B21"/>
    <w:rsid w:val="00774F82"/>
    <w:rsid w:val="00781C00"/>
    <w:rsid w:val="0078380F"/>
    <w:rsid w:val="00785435"/>
    <w:rsid w:val="007939BC"/>
    <w:rsid w:val="007A7611"/>
    <w:rsid w:val="007C01C8"/>
    <w:rsid w:val="007C0707"/>
    <w:rsid w:val="007C710F"/>
    <w:rsid w:val="007D7A39"/>
    <w:rsid w:val="007E3A00"/>
    <w:rsid w:val="007E41EC"/>
    <w:rsid w:val="007E57CD"/>
    <w:rsid w:val="007F5D02"/>
    <w:rsid w:val="0080143B"/>
    <w:rsid w:val="008056D5"/>
    <w:rsid w:val="00805C2C"/>
    <w:rsid w:val="00805F2B"/>
    <w:rsid w:val="008071E6"/>
    <w:rsid w:val="00812C3E"/>
    <w:rsid w:val="00813DBE"/>
    <w:rsid w:val="00815B61"/>
    <w:rsid w:val="00823261"/>
    <w:rsid w:val="008348A7"/>
    <w:rsid w:val="0083704F"/>
    <w:rsid w:val="008430DF"/>
    <w:rsid w:val="008465D3"/>
    <w:rsid w:val="00847490"/>
    <w:rsid w:val="0086265C"/>
    <w:rsid w:val="008632DF"/>
    <w:rsid w:val="008739EA"/>
    <w:rsid w:val="008810C6"/>
    <w:rsid w:val="00885C4D"/>
    <w:rsid w:val="008A3764"/>
    <w:rsid w:val="008A5532"/>
    <w:rsid w:val="008D696E"/>
    <w:rsid w:val="008E5CCB"/>
    <w:rsid w:val="008F7D3D"/>
    <w:rsid w:val="00921584"/>
    <w:rsid w:val="00922269"/>
    <w:rsid w:val="009235F6"/>
    <w:rsid w:val="00930594"/>
    <w:rsid w:val="009525FE"/>
    <w:rsid w:val="00971179"/>
    <w:rsid w:val="009725FA"/>
    <w:rsid w:val="0097574F"/>
    <w:rsid w:val="00977A17"/>
    <w:rsid w:val="009821FE"/>
    <w:rsid w:val="009937EA"/>
    <w:rsid w:val="00995C94"/>
    <w:rsid w:val="009970DC"/>
    <w:rsid w:val="009A4DEB"/>
    <w:rsid w:val="009C5131"/>
    <w:rsid w:val="009D1347"/>
    <w:rsid w:val="009E55FB"/>
    <w:rsid w:val="009F5538"/>
    <w:rsid w:val="00A00E90"/>
    <w:rsid w:val="00A01CCF"/>
    <w:rsid w:val="00A11F37"/>
    <w:rsid w:val="00A16AC3"/>
    <w:rsid w:val="00A23880"/>
    <w:rsid w:val="00A24B4B"/>
    <w:rsid w:val="00A401A9"/>
    <w:rsid w:val="00A51FEC"/>
    <w:rsid w:val="00A53D15"/>
    <w:rsid w:val="00A63266"/>
    <w:rsid w:val="00A66FB0"/>
    <w:rsid w:val="00A779F4"/>
    <w:rsid w:val="00A86E34"/>
    <w:rsid w:val="00A87196"/>
    <w:rsid w:val="00AC27E5"/>
    <w:rsid w:val="00AD2A46"/>
    <w:rsid w:val="00AF13AC"/>
    <w:rsid w:val="00AF631F"/>
    <w:rsid w:val="00B20078"/>
    <w:rsid w:val="00B238BE"/>
    <w:rsid w:val="00B253A8"/>
    <w:rsid w:val="00B2783A"/>
    <w:rsid w:val="00B51A49"/>
    <w:rsid w:val="00B52F5F"/>
    <w:rsid w:val="00B53248"/>
    <w:rsid w:val="00B64757"/>
    <w:rsid w:val="00B67A26"/>
    <w:rsid w:val="00B7556F"/>
    <w:rsid w:val="00B755F2"/>
    <w:rsid w:val="00B76345"/>
    <w:rsid w:val="00BA46FB"/>
    <w:rsid w:val="00BB197A"/>
    <w:rsid w:val="00BB20A9"/>
    <w:rsid w:val="00BB3671"/>
    <w:rsid w:val="00BB6FB4"/>
    <w:rsid w:val="00BE3960"/>
    <w:rsid w:val="00BE6B47"/>
    <w:rsid w:val="00BF2B1F"/>
    <w:rsid w:val="00C04A8D"/>
    <w:rsid w:val="00C13F4D"/>
    <w:rsid w:val="00C17391"/>
    <w:rsid w:val="00C26B91"/>
    <w:rsid w:val="00C274E1"/>
    <w:rsid w:val="00C371F4"/>
    <w:rsid w:val="00C41957"/>
    <w:rsid w:val="00C57A85"/>
    <w:rsid w:val="00C7244F"/>
    <w:rsid w:val="00C80A8C"/>
    <w:rsid w:val="00C80DE7"/>
    <w:rsid w:val="00C84BD3"/>
    <w:rsid w:val="00C96D38"/>
    <w:rsid w:val="00CA2B7F"/>
    <w:rsid w:val="00CB2650"/>
    <w:rsid w:val="00CD1DA1"/>
    <w:rsid w:val="00CE106C"/>
    <w:rsid w:val="00CE6DD5"/>
    <w:rsid w:val="00CF38FE"/>
    <w:rsid w:val="00CF646C"/>
    <w:rsid w:val="00D0682E"/>
    <w:rsid w:val="00D06840"/>
    <w:rsid w:val="00D1251A"/>
    <w:rsid w:val="00D31187"/>
    <w:rsid w:val="00D34694"/>
    <w:rsid w:val="00D3553E"/>
    <w:rsid w:val="00D37ED4"/>
    <w:rsid w:val="00D45D15"/>
    <w:rsid w:val="00D556F2"/>
    <w:rsid w:val="00D56725"/>
    <w:rsid w:val="00D661B2"/>
    <w:rsid w:val="00D90B4B"/>
    <w:rsid w:val="00D9322D"/>
    <w:rsid w:val="00D94875"/>
    <w:rsid w:val="00D95EC4"/>
    <w:rsid w:val="00DB1BB7"/>
    <w:rsid w:val="00DB5B98"/>
    <w:rsid w:val="00DB7D4E"/>
    <w:rsid w:val="00DC1C47"/>
    <w:rsid w:val="00DC692B"/>
    <w:rsid w:val="00DE1846"/>
    <w:rsid w:val="00DE300B"/>
    <w:rsid w:val="00DF5281"/>
    <w:rsid w:val="00DF6AA4"/>
    <w:rsid w:val="00E016F2"/>
    <w:rsid w:val="00E04F39"/>
    <w:rsid w:val="00E069D3"/>
    <w:rsid w:val="00E13642"/>
    <w:rsid w:val="00E156AF"/>
    <w:rsid w:val="00E205D2"/>
    <w:rsid w:val="00E21907"/>
    <w:rsid w:val="00E27C44"/>
    <w:rsid w:val="00E3165E"/>
    <w:rsid w:val="00E321BA"/>
    <w:rsid w:val="00E42BFC"/>
    <w:rsid w:val="00E6631E"/>
    <w:rsid w:val="00E71C3B"/>
    <w:rsid w:val="00E901CC"/>
    <w:rsid w:val="00E91FE8"/>
    <w:rsid w:val="00EA7BC6"/>
    <w:rsid w:val="00EB2BE5"/>
    <w:rsid w:val="00EB64E0"/>
    <w:rsid w:val="00EC1E8B"/>
    <w:rsid w:val="00EC1FAC"/>
    <w:rsid w:val="00EC2681"/>
    <w:rsid w:val="00EC699C"/>
    <w:rsid w:val="00EC710F"/>
    <w:rsid w:val="00ED3149"/>
    <w:rsid w:val="00EE041B"/>
    <w:rsid w:val="00EE3555"/>
    <w:rsid w:val="00EE38E0"/>
    <w:rsid w:val="00EE3969"/>
    <w:rsid w:val="00EF1351"/>
    <w:rsid w:val="00EF3FCB"/>
    <w:rsid w:val="00F038B1"/>
    <w:rsid w:val="00F061EC"/>
    <w:rsid w:val="00F13440"/>
    <w:rsid w:val="00F20DD7"/>
    <w:rsid w:val="00F2552D"/>
    <w:rsid w:val="00F461E0"/>
    <w:rsid w:val="00F60A94"/>
    <w:rsid w:val="00F64F8F"/>
    <w:rsid w:val="00F823D7"/>
    <w:rsid w:val="00F849C4"/>
    <w:rsid w:val="00F9067D"/>
    <w:rsid w:val="00FA19FD"/>
    <w:rsid w:val="00FA29F6"/>
    <w:rsid w:val="00FA46F4"/>
    <w:rsid w:val="00FA4A26"/>
    <w:rsid w:val="00FA50D5"/>
    <w:rsid w:val="00FA5255"/>
    <w:rsid w:val="00FC5D4D"/>
    <w:rsid w:val="00FD21F1"/>
    <w:rsid w:val="00FD4FBC"/>
    <w:rsid w:val="00FE0748"/>
    <w:rsid w:val="00FF3DF0"/>
    <w:rsid w:val="00FF4C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E7222"/>
  <w15:docId w15:val="{39A5D544-D306-4031-AC6B-1CAF9AAD3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0" w:hanging="10"/>
    </w:pPr>
    <w:rPr>
      <w:rFonts w:ascii="Calibri" w:eastAsia="Calibri" w:hAnsi="Calibri" w:cs="Calibri"/>
      <w:color w:val="000000"/>
    </w:rPr>
  </w:style>
  <w:style w:type="paragraph" w:styleId="Heading1">
    <w:name w:val="heading 1"/>
    <w:basedOn w:val="ListParagraph"/>
    <w:next w:val="Normal"/>
    <w:link w:val="Heading1Char"/>
    <w:uiPriority w:val="9"/>
    <w:qFormat/>
    <w:rsid w:val="005E29D5"/>
    <w:pPr>
      <w:numPr>
        <w:numId w:val="1"/>
      </w:numPr>
      <w:spacing w:after="0"/>
      <w:outlineLvl w:val="0"/>
    </w:pPr>
    <w:rPr>
      <w:b/>
      <w:bCs/>
      <w:sz w:val="28"/>
      <w:szCs w:val="28"/>
    </w:rPr>
  </w:style>
  <w:style w:type="paragraph" w:styleId="Heading2">
    <w:name w:val="heading 2"/>
    <w:basedOn w:val="ListParagraph"/>
    <w:next w:val="Normal"/>
    <w:link w:val="Heading2Char"/>
    <w:uiPriority w:val="9"/>
    <w:unhideWhenUsed/>
    <w:qFormat/>
    <w:rsid w:val="005E29D5"/>
    <w:pPr>
      <w:numPr>
        <w:ilvl w:val="1"/>
        <w:numId w:val="1"/>
      </w:numPr>
      <w:spacing w:after="0"/>
      <w:outlineLvl w:val="1"/>
    </w:pPr>
    <w:rPr>
      <w:b/>
      <w:bCs/>
      <w:sz w:val="24"/>
      <w:szCs w:val="24"/>
    </w:rPr>
  </w:style>
  <w:style w:type="paragraph" w:styleId="Heading3">
    <w:name w:val="heading 3"/>
    <w:basedOn w:val="Heading2"/>
    <w:link w:val="Heading3Char"/>
    <w:uiPriority w:val="9"/>
    <w:unhideWhenUsed/>
    <w:qFormat/>
    <w:rsid w:val="00D95EC4"/>
    <w:pPr>
      <w:keepNext/>
      <w:keepLines/>
      <w:numPr>
        <w:ilvl w:val="0"/>
        <w:numId w:val="3"/>
      </w:numPr>
      <w:outlineLvl w:val="2"/>
    </w:pPr>
    <w:rPr>
      <w:rFonts w:eastAsiaTheme="majorEastAsia" w:cstheme="majorBidi"/>
      <w:b w:val="0"/>
      <w:color w:val="000000" w:themeColor="text1"/>
    </w:rPr>
  </w:style>
  <w:style w:type="paragraph" w:styleId="Heading4">
    <w:name w:val="heading 4"/>
    <w:basedOn w:val="Normal"/>
    <w:next w:val="Normal"/>
    <w:link w:val="Heading4Char"/>
    <w:uiPriority w:val="9"/>
    <w:unhideWhenUsed/>
    <w:qFormat/>
    <w:rsid w:val="00D556F2"/>
    <w:pPr>
      <w:keepNext/>
      <w:keepLines/>
      <w:numPr>
        <w:numId w:val="4"/>
      </w:numPr>
      <w:spacing w:before="40" w:after="0"/>
      <w:outlineLvl w:val="3"/>
    </w:pPr>
    <w:rPr>
      <w:rFonts w:asciiTheme="majorHAnsi" w:eastAsiaTheme="majorEastAsia" w:hAnsiTheme="majorHAnsi" w:cstheme="majorBidi"/>
      <w:iCs/>
      <w:color w:val="auto"/>
      <w:sz w:val="24"/>
    </w:rPr>
  </w:style>
  <w:style w:type="paragraph" w:styleId="Heading5">
    <w:name w:val="heading 5"/>
    <w:basedOn w:val="Heading2"/>
    <w:next w:val="Heading3"/>
    <w:link w:val="Heading5Char"/>
    <w:autoRedefine/>
    <w:uiPriority w:val="9"/>
    <w:unhideWhenUsed/>
    <w:qFormat/>
    <w:rsid w:val="004F6BCD"/>
    <w:pPr>
      <w:keepNext/>
      <w:keepLines/>
      <w:numPr>
        <w:ilvl w:val="0"/>
        <w:numId w:val="5"/>
      </w:numPr>
      <w:spacing w:before="40"/>
      <w:outlineLvl w:val="4"/>
    </w:pPr>
    <w:rPr>
      <w:rFonts w:eastAsiaTheme="majorEastAsia" w:cstheme="majorBidi"/>
      <w:color w:val="auto"/>
    </w:rPr>
  </w:style>
  <w:style w:type="paragraph" w:styleId="Heading6">
    <w:name w:val="heading 6"/>
    <w:basedOn w:val="Heading5"/>
    <w:link w:val="Heading6Char"/>
    <w:uiPriority w:val="9"/>
    <w:unhideWhenUsed/>
    <w:qFormat/>
    <w:rsid w:val="007379AD"/>
    <w:pPr>
      <w:numPr>
        <w:numId w:val="6"/>
      </w:numPr>
      <w:outlineLvl w:val="5"/>
    </w:pPr>
    <w:rPr>
      <w:rFonts w:asciiTheme="majorHAnsi" w:hAnsiTheme="majorHAnsi"/>
      <w:b w:val="0"/>
      <w:bCs w:val="0"/>
    </w:rPr>
  </w:style>
  <w:style w:type="paragraph" w:styleId="Heading7">
    <w:name w:val="heading 7"/>
    <w:basedOn w:val="Normal"/>
    <w:next w:val="Normal"/>
    <w:link w:val="Heading7Char"/>
    <w:uiPriority w:val="9"/>
    <w:unhideWhenUsed/>
    <w:qFormat/>
    <w:rsid w:val="00F9067D"/>
    <w:pPr>
      <w:keepNext/>
      <w:keepLines/>
      <w:numPr>
        <w:numId w:val="1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8465D3"/>
    <w:pPr>
      <w:keepNext/>
      <w:keepLines/>
      <w:numPr>
        <w:numId w:val="19"/>
      </w:numPr>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E29D5"/>
    <w:rPr>
      <w:rFonts w:ascii="Calibri" w:eastAsia="Calibri" w:hAnsi="Calibri" w:cs="Calibri"/>
      <w:b/>
      <w:bCs/>
      <w:color w:val="000000"/>
      <w:sz w:val="28"/>
      <w:szCs w:val="28"/>
    </w:rPr>
  </w:style>
  <w:style w:type="paragraph" w:styleId="Header">
    <w:name w:val="header"/>
    <w:basedOn w:val="Normal"/>
    <w:link w:val="HeaderChar"/>
    <w:uiPriority w:val="99"/>
    <w:unhideWhenUsed/>
    <w:rsid w:val="00BE6B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B47"/>
    <w:rPr>
      <w:rFonts w:ascii="Calibri" w:eastAsia="Calibri" w:hAnsi="Calibri" w:cs="Calibri"/>
      <w:color w:val="000000"/>
    </w:rPr>
  </w:style>
  <w:style w:type="paragraph" w:styleId="Footer">
    <w:name w:val="footer"/>
    <w:basedOn w:val="Normal"/>
    <w:link w:val="FooterChar"/>
    <w:uiPriority w:val="99"/>
    <w:unhideWhenUsed/>
    <w:rsid w:val="00BE6B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B47"/>
    <w:rPr>
      <w:rFonts w:ascii="Calibri" w:eastAsia="Calibri" w:hAnsi="Calibri" w:cs="Calibri"/>
      <w:color w:val="000000"/>
    </w:rPr>
  </w:style>
  <w:style w:type="table" w:styleId="TableGrid">
    <w:name w:val="Table Grid"/>
    <w:basedOn w:val="TableNormal"/>
    <w:uiPriority w:val="39"/>
    <w:rsid w:val="00BE6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F6AA4"/>
    <w:pPr>
      <w:ind w:left="720"/>
      <w:contextualSpacing/>
    </w:pPr>
  </w:style>
  <w:style w:type="paragraph" w:styleId="TOCHeading">
    <w:name w:val="TOC Heading"/>
    <w:basedOn w:val="Heading1"/>
    <w:next w:val="Normal"/>
    <w:uiPriority w:val="39"/>
    <w:unhideWhenUsed/>
    <w:qFormat/>
    <w:rsid w:val="00C371F4"/>
    <w:pPr>
      <w:numPr>
        <w:numId w:val="0"/>
      </w:numPr>
      <w:spacing w:before="240"/>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2">
    <w:name w:val="toc 2"/>
    <w:basedOn w:val="Normal"/>
    <w:next w:val="Normal"/>
    <w:autoRedefine/>
    <w:uiPriority w:val="39"/>
    <w:unhideWhenUsed/>
    <w:rsid w:val="00C371F4"/>
    <w:pPr>
      <w:spacing w:after="100"/>
      <w:ind w:left="220" w:firstLine="0"/>
    </w:pPr>
    <w:rPr>
      <w:rFonts w:asciiTheme="minorHAnsi" w:eastAsiaTheme="minorEastAsia" w:hAnsiTheme="minorHAnsi" w:cs="Times New Roman"/>
      <w:color w:val="auto"/>
      <w:lang w:val="en-US" w:eastAsia="en-US"/>
    </w:rPr>
  </w:style>
  <w:style w:type="paragraph" w:styleId="TOC1">
    <w:name w:val="toc 1"/>
    <w:basedOn w:val="Normal"/>
    <w:next w:val="Normal"/>
    <w:autoRedefine/>
    <w:uiPriority w:val="39"/>
    <w:unhideWhenUsed/>
    <w:rsid w:val="00C371F4"/>
    <w:pPr>
      <w:spacing w:after="100"/>
      <w:ind w:left="0" w:firstLine="0"/>
    </w:pPr>
    <w:rPr>
      <w:rFonts w:asciiTheme="minorHAnsi" w:eastAsiaTheme="minorEastAsia" w:hAnsiTheme="minorHAnsi" w:cs="Times New Roman"/>
      <w:color w:val="auto"/>
      <w:lang w:val="en-US" w:eastAsia="en-US"/>
    </w:rPr>
  </w:style>
  <w:style w:type="paragraph" w:styleId="TOC3">
    <w:name w:val="toc 3"/>
    <w:basedOn w:val="Normal"/>
    <w:next w:val="Normal"/>
    <w:autoRedefine/>
    <w:uiPriority w:val="39"/>
    <w:unhideWhenUsed/>
    <w:rsid w:val="00C371F4"/>
    <w:pPr>
      <w:spacing w:after="100"/>
      <w:ind w:left="440" w:firstLine="0"/>
    </w:pPr>
    <w:rPr>
      <w:rFonts w:asciiTheme="minorHAnsi" w:eastAsiaTheme="minorEastAsia" w:hAnsiTheme="minorHAnsi" w:cs="Times New Roman"/>
      <w:color w:val="auto"/>
      <w:lang w:val="en-US" w:eastAsia="en-US"/>
    </w:rPr>
  </w:style>
  <w:style w:type="paragraph" w:customStyle="1" w:styleId="Style1">
    <w:name w:val="Style1"/>
    <w:basedOn w:val="ListParagraph"/>
    <w:link w:val="Style1Char"/>
    <w:qFormat/>
    <w:rsid w:val="005F2566"/>
    <w:pPr>
      <w:spacing w:after="0"/>
      <w:ind w:left="786" w:hanging="360"/>
    </w:pPr>
    <w:rPr>
      <w:b/>
      <w:bCs/>
      <w:sz w:val="24"/>
      <w:szCs w:val="24"/>
    </w:rPr>
  </w:style>
  <w:style w:type="character" w:customStyle="1" w:styleId="ListParagraphChar">
    <w:name w:val="List Paragraph Char"/>
    <w:basedOn w:val="DefaultParagraphFont"/>
    <w:link w:val="ListParagraph"/>
    <w:uiPriority w:val="34"/>
    <w:rsid w:val="005F2566"/>
    <w:rPr>
      <w:rFonts w:ascii="Calibri" w:eastAsia="Calibri" w:hAnsi="Calibri" w:cs="Calibri"/>
      <w:color w:val="000000"/>
    </w:rPr>
  </w:style>
  <w:style w:type="character" w:customStyle="1" w:styleId="Style1Char">
    <w:name w:val="Style1 Char"/>
    <w:basedOn w:val="ListParagraphChar"/>
    <w:link w:val="Style1"/>
    <w:rsid w:val="005F2566"/>
    <w:rPr>
      <w:rFonts w:ascii="Calibri" w:eastAsia="Calibri" w:hAnsi="Calibri" w:cs="Calibri"/>
      <w:b/>
      <w:bCs/>
      <w:color w:val="000000"/>
      <w:sz w:val="24"/>
      <w:szCs w:val="24"/>
    </w:rPr>
  </w:style>
  <w:style w:type="character" w:styleId="Hyperlink">
    <w:name w:val="Hyperlink"/>
    <w:basedOn w:val="DefaultParagraphFont"/>
    <w:uiPriority w:val="99"/>
    <w:unhideWhenUsed/>
    <w:rsid w:val="005E29D5"/>
    <w:rPr>
      <w:color w:val="0563C1" w:themeColor="hyperlink"/>
      <w:u w:val="single"/>
    </w:rPr>
  </w:style>
  <w:style w:type="character" w:customStyle="1" w:styleId="Heading2Char">
    <w:name w:val="Heading 2 Char"/>
    <w:basedOn w:val="DefaultParagraphFont"/>
    <w:link w:val="Heading2"/>
    <w:uiPriority w:val="9"/>
    <w:rsid w:val="005E29D5"/>
    <w:rPr>
      <w:rFonts w:ascii="Calibri" w:eastAsia="Calibri" w:hAnsi="Calibri" w:cs="Calibri"/>
      <w:b/>
      <w:bCs/>
      <w:color w:val="000000"/>
      <w:sz w:val="24"/>
      <w:szCs w:val="24"/>
    </w:rPr>
  </w:style>
  <w:style w:type="table" w:customStyle="1" w:styleId="TableGrid1">
    <w:name w:val="Table Grid1"/>
    <w:basedOn w:val="TableNormal"/>
    <w:next w:val="TableGrid"/>
    <w:uiPriority w:val="39"/>
    <w:rsid w:val="00724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95EC4"/>
    <w:rPr>
      <w:rFonts w:ascii="Calibri" w:eastAsiaTheme="majorEastAsia" w:hAnsi="Calibri" w:cstheme="majorBidi"/>
      <w:bCs/>
      <w:color w:val="000000" w:themeColor="text1"/>
      <w:sz w:val="24"/>
      <w:szCs w:val="24"/>
    </w:rPr>
  </w:style>
  <w:style w:type="paragraph" w:customStyle="1" w:styleId="Style2">
    <w:name w:val="Style2"/>
    <w:basedOn w:val="Heading3"/>
    <w:link w:val="Style2Char"/>
    <w:qFormat/>
    <w:rsid w:val="00D06840"/>
    <w:pPr>
      <w:numPr>
        <w:numId w:val="0"/>
      </w:numPr>
    </w:pPr>
  </w:style>
  <w:style w:type="character" w:customStyle="1" w:styleId="Style2Char">
    <w:name w:val="Style2 Char"/>
    <w:basedOn w:val="Heading3Char"/>
    <w:link w:val="Style2"/>
    <w:rsid w:val="00D06840"/>
    <w:rPr>
      <w:rFonts w:ascii="Calibri" w:eastAsiaTheme="majorEastAsia" w:hAnsi="Calibri" w:cstheme="majorBidi"/>
      <w:bCs/>
      <w:color w:val="000000" w:themeColor="text1"/>
      <w:sz w:val="24"/>
      <w:szCs w:val="24"/>
    </w:rPr>
  </w:style>
  <w:style w:type="character" w:customStyle="1" w:styleId="Heading4Char">
    <w:name w:val="Heading 4 Char"/>
    <w:basedOn w:val="DefaultParagraphFont"/>
    <w:link w:val="Heading4"/>
    <w:uiPriority w:val="9"/>
    <w:rsid w:val="00D556F2"/>
    <w:rPr>
      <w:rFonts w:asciiTheme="majorHAnsi" w:eastAsiaTheme="majorEastAsia" w:hAnsiTheme="majorHAnsi" w:cstheme="majorBidi"/>
      <w:iCs/>
      <w:sz w:val="24"/>
    </w:rPr>
  </w:style>
  <w:style w:type="character" w:customStyle="1" w:styleId="Heading5Char">
    <w:name w:val="Heading 5 Char"/>
    <w:basedOn w:val="DefaultParagraphFont"/>
    <w:link w:val="Heading5"/>
    <w:uiPriority w:val="9"/>
    <w:rsid w:val="004F6BCD"/>
    <w:rPr>
      <w:rFonts w:ascii="Calibri" w:eastAsiaTheme="majorEastAsia" w:hAnsi="Calibri" w:cstheme="majorBidi"/>
      <w:b/>
      <w:bCs/>
      <w:sz w:val="24"/>
      <w:szCs w:val="24"/>
    </w:rPr>
  </w:style>
  <w:style w:type="character" w:customStyle="1" w:styleId="Heading6Char">
    <w:name w:val="Heading 6 Char"/>
    <w:basedOn w:val="DefaultParagraphFont"/>
    <w:link w:val="Heading6"/>
    <w:uiPriority w:val="9"/>
    <w:rsid w:val="007379AD"/>
    <w:rPr>
      <w:rFonts w:asciiTheme="majorHAnsi" w:eastAsiaTheme="majorEastAsia" w:hAnsiTheme="majorHAnsi" w:cstheme="majorBidi"/>
      <w:sz w:val="24"/>
      <w:szCs w:val="24"/>
    </w:rPr>
  </w:style>
  <w:style w:type="paragraph" w:styleId="NormalWeb">
    <w:name w:val="Normal (Web)"/>
    <w:basedOn w:val="Normal"/>
    <w:uiPriority w:val="99"/>
    <w:unhideWhenUsed/>
    <w:rsid w:val="00DE300B"/>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DE300B"/>
    <w:rPr>
      <w:b/>
      <w:bCs/>
    </w:rPr>
  </w:style>
  <w:style w:type="character" w:customStyle="1" w:styleId="Heading7Char">
    <w:name w:val="Heading 7 Char"/>
    <w:basedOn w:val="DefaultParagraphFont"/>
    <w:link w:val="Heading7"/>
    <w:uiPriority w:val="9"/>
    <w:rsid w:val="00F9067D"/>
    <w:rPr>
      <w:rFonts w:asciiTheme="majorHAnsi" w:eastAsiaTheme="majorEastAsia" w:hAnsiTheme="majorHAnsi" w:cstheme="majorBidi"/>
      <w:i/>
      <w:iCs/>
      <w:color w:val="1F3763" w:themeColor="accent1" w:themeShade="7F"/>
    </w:rPr>
  </w:style>
  <w:style w:type="paragraph" w:styleId="TOC6">
    <w:name w:val="toc 6"/>
    <w:basedOn w:val="Normal"/>
    <w:next w:val="Normal"/>
    <w:autoRedefine/>
    <w:uiPriority w:val="39"/>
    <w:unhideWhenUsed/>
    <w:rsid w:val="00092A7B"/>
    <w:pPr>
      <w:spacing w:after="100"/>
      <w:ind w:left="1100"/>
    </w:pPr>
  </w:style>
  <w:style w:type="character" w:customStyle="1" w:styleId="Heading8Char">
    <w:name w:val="Heading 8 Char"/>
    <w:basedOn w:val="DefaultParagraphFont"/>
    <w:link w:val="Heading8"/>
    <w:uiPriority w:val="9"/>
    <w:rsid w:val="00092A7B"/>
    <w:rPr>
      <w:rFonts w:asciiTheme="majorHAnsi" w:eastAsiaTheme="majorEastAsia" w:hAnsiTheme="majorHAnsi" w:cstheme="majorBidi"/>
      <w:color w:val="272727" w:themeColor="text1" w:themeTint="D8"/>
      <w:sz w:val="21"/>
      <w:szCs w:val="21"/>
    </w:rPr>
  </w:style>
  <w:style w:type="character" w:styleId="Emphasis">
    <w:name w:val="Emphasis"/>
    <w:basedOn w:val="DefaultParagraphFont"/>
    <w:uiPriority w:val="20"/>
    <w:qFormat/>
    <w:rsid w:val="009E55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5130">
      <w:bodyDiv w:val="1"/>
      <w:marLeft w:val="0"/>
      <w:marRight w:val="0"/>
      <w:marTop w:val="0"/>
      <w:marBottom w:val="0"/>
      <w:divBdr>
        <w:top w:val="none" w:sz="0" w:space="0" w:color="auto"/>
        <w:left w:val="none" w:sz="0" w:space="0" w:color="auto"/>
        <w:bottom w:val="none" w:sz="0" w:space="0" w:color="auto"/>
        <w:right w:val="none" w:sz="0" w:space="0" w:color="auto"/>
      </w:divBdr>
      <w:divsChild>
        <w:div w:id="1150290311">
          <w:marLeft w:val="0"/>
          <w:marRight w:val="0"/>
          <w:marTop w:val="0"/>
          <w:marBottom w:val="0"/>
          <w:divBdr>
            <w:top w:val="none" w:sz="0" w:space="0" w:color="auto"/>
            <w:left w:val="none" w:sz="0" w:space="0" w:color="auto"/>
            <w:bottom w:val="none" w:sz="0" w:space="0" w:color="auto"/>
            <w:right w:val="none" w:sz="0" w:space="0" w:color="auto"/>
          </w:divBdr>
        </w:div>
      </w:divsChild>
    </w:div>
    <w:div w:id="105857209">
      <w:bodyDiv w:val="1"/>
      <w:marLeft w:val="0"/>
      <w:marRight w:val="0"/>
      <w:marTop w:val="0"/>
      <w:marBottom w:val="0"/>
      <w:divBdr>
        <w:top w:val="none" w:sz="0" w:space="0" w:color="auto"/>
        <w:left w:val="none" w:sz="0" w:space="0" w:color="auto"/>
        <w:bottom w:val="none" w:sz="0" w:space="0" w:color="auto"/>
        <w:right w:val="none" w:sz="0" w:space="0" w:color="auto"/>
      </w:divBdr>
    </w:div>
    <w:div w:id="119691722">
      <w:bodyDiv w:val="1"/>
      <w:marLeft w:val="0"/>
      <w:marRight w:val="0"/>
      <w:marTop w:val="0"/>
      <w:marBottom w:val="0"/>
      <w:divBdr>
        <w:top w:val="none" w:sz="0" w:space="0" w:color="auto"/>
        <w:left w:val="none" w:sz="0" w:space="0" w:color="auto"/>
        <w:bottom w:val="none" w:sz="0" w:space="0" w:color="auto"/>
        <w:right w:val="none" w:sz="0" w:space="0" w:color="auto"/>
      </w:divBdr>
    </w:div>
    <w:div w:id="390739373">
      <w:bodyDiv w:val="1"/>
      <w:marLeft w:val="0"/>
      <w:marRight w:val="0"/>
      <w:marTop w:val="0"/>
      <w:marBottom w:val="0"/>
      <w:divBdr>
        <w:top w:val="none" w:sz="0" w:space="0" w:color="auto"/>
        <w:left w:val="none" w:sz="0" w:space="0" w:color="auto"/>
        <w:bottom w:val="none" w:sz="0" w:space="0" w:color="auto"/>
        <w:right w:val="none" w:sz="0" w:space="0" w:color="auto"/>
      </w:divBdr>
    </w:div>
    <w:div w:id="442119512">
      <w:bodyDiv w:val="1"/>
      <w:marLeft w:val="0"/>
      <w:marRight w:val="0"/>
      <w:marTop w:val="0"/>
      <w:marBottom w:val="0"/>
      <w:divBdr>
        <w:top w:val="none" w:sz="0" w:space="0" w:color="auto"/>
        <w:left w:val="none" w:sz="0" w:space="0" w:color="auto"/>
        <w:bottom w:val="none" w:sz="0" w:space="0" w:color="auto"/>
        <w:right w:val="none" w:sz="0" w:space="0" w:color="auto"/>
      </w:divBdr>
    </w:div>
    <w:div w:id="623925228">
      <w:bodyDiv w:val="1"/>
      <w:marLeft w:val="0"/>
      <w:marRight w:val="0"/>
      <w:marTop w:val="0"/>
      <w:marBottom w:val="0"/>
      <w:divBdr>
        <w:top w:val="none" w:sz="0" w:space="0" w:color="auto"/>
        <w:left w:val="none" w:sz="0" w:space="0" w:color="auto"/>
        <w:bottom w:val="none" w:sz="0" w:space="0" w:color="auto"/>
        <w:right w:val="none" w:sz="0" w:space="0" w:color="auto"/>
      </w:divBdr>
    </w:div>
    <w:div w:id="648751485">
      <w:bodyDiv w:val="1"/>
      <w:marLeft w:val="0"/>
      <w:marRight w:val="0"/>
      <w:marTop w:val="0"/>
      <w:marBottom w:val="0"/>
      <w:divBdr>
        <w:top w:val="none" w:sz="0" w:space="0" w:color="auto"/>
        <w:left w:val="none" w:sz="0" w:space="0" w:color="auto"/>
        <w:bottom w:val="none" w:sz="0" w:space="0" w:color="auto"/>
        <w:right w:val="none" w:sz="0" w:space="0" w:color="auto"/>
      </w:divBdr>
    </w:div>
    <w:div w:id="708067506">
      <w:bodyDiv w:val="1"/>
      <w:marLeft w:val="0"/>
      <w:marRight w:val="0"/>
      <w:marTop w:val="0"/>
      <w:marBottom w:val="0"/>
      <w:divBdr>
        <w:top w:val="none" w:sz="0" w:space="0" w:color="auto"/>
        <w:left w:val="none" w:sz="0" w:space="0" w:color="auto"/>
        <w:bottom w:val="none" w:sz="0" w:space="0" w:color="auto"/>
        <w:right w:val="none" w:sz="0" w:space="0" w:color="auto"/>
      </w:divBdr>
    </w:div>
    <w:div w:id="724530801">
      <w:bodyDiv w:val="1"/>
      <w:marLeft w:val="0"/>
      <w:marRight w:val="0"/>
      <w:marTop w:val="0"/>
      <w:marBottom w:val="0"/>
      <w:divBdr>
        <w:top w:val="none" w:sz="0" w:space="0" w:color="auto"/>
        <w:left w:val="none" w:sz="0" w:space="0" w:color="auto"/>
        <w:bottom w:val="none" w:sz="0" w:space="0" w:color="auto"/>
        <w:right w:val="none" w:sz="0" w:space="0" w:color="auto"/>
      </w:divBdr>
    </w:div>
    <w:div w:id="812674135">
      <w:bodyDiv w:val="1"/>
      <w:marLeft w:val="0"/>
      <w:marRight w:val="0"/>
      <w:marTop w:val="0"/>
      <w:marBottom w:val="0"/>
      <w:divBdr>
        <w:top w:val="none" w:sz="0" w:space="0" w:color="auto"/>
        <w:left w:val="none" w:sz="0" w:space="0" w:color="auto"/>
        <w:bottom w:val="none" w:sz="0" w:space="0" w:color="auto"/>
        <w:right w:val="none" w:sz="0" w:space="0" w:color="auto"/>
      </w:divBdr>
    </w:div>
    <w:div w:id="884294620">
      <w:bodyDiv w:val="1"/>
      <w:marLeft w:val="0"/>
      <w:marRight w:val="0"/>
      <w:marTop w:val="0"/>
      <w:marBottom w:val="0"/>
      <w:divBdr>
        <w:top w:val="none" w:sz="0" w:space="0" w:color="auto"/>
        <w:left w:val="none" w:sz="0" w:space="0" w:color="auto"/>
        <w:bottom w:val="none" w:sz="0" w:space="0" w:color="auto"/>
        <w:right w:val="none" w:sz="0" w:space="0" w:color="auto"/>
      </w:divBdr>
    </w:div>
    <w:div w:id="921447511">
      <w:bodyDiv w:val="1"/>
      <w:marLeft w:val="0"/>
      <w:marRight w:val="0"/>
      <w:marTop w:val="0"/>
      <w:marBottom w:val="0"/>
      <w:divBdr>
        <w:top w:val="none" w:sz="0" w:space="0" w:color="auto"/>
        <w:left w:val="none" w:sz="0" w:space="0" w:color="auto"/>
        <w:bottom w:val="none" w:sz="0" w:space="0" w:color="auto"/>
        <w:right w:val="none" w:sz="0" w:space="0" w:color="auto"/>
      </w:divBdr>
    </w:div>
    <w:div w:id="1222012018">
      <w:bodyDiv w:val="1"/>
      <w:marLeft w:val="0"/>
      <w:marRight w:val="0"/>
      <w:marTop w:val="0"/>
      <w:marBottom w:val="0"/>
      <w:divBdr>
        <w:top w:val="none" w:sz="0" w:space="0" w:color="auto"/>
        <w:left w:val="none" w:sz="0" w:space="0" w:color="auto"/>
        <w:bottom w:val="none" w:sz="0" w:space="0" w:color="auto"/>
        <w:right w:val="none" w:sz="0" w:space="0" w:color="auto"/>
      </w:divBdr>
    </w:div>
    <w:div w:id="1282610166">
      <w:bodyDiv w:val="1"/>
      <w:marLeft w:val="0"/>
      <w:marRight w:val="0"/>
      <w:marTop w:val="0"/>
      <w:marBottom w:val="0"/>
      <w:divBdr>
        <w:top w:val="none" w:sz="0" w:space="0" w:color="auto"/>
        <w:left w:val="none" w:sz="0" w:space="0" w:color="auto"/>
        <w:bottom w:val="none" w:sz="0" w:space="0" w:color="auto"/>
        <w:right w:val="none" w:sz="0" w:space="0" w:color="auto"/>
      </w:divBdr>
    </w:div>
    <w:div w:id="1291859150">
      <w:bodyDiv w:val="1"/>
      <w:marLeft w:val="0"/>
      <w:marRight w:val="0"/>
      <w:marTop w:val="0"/>
      <w:marBottom w:val="0"/>
      <w:divBdr>
        <w:top w:val="none" w:sz="0" w:space="0" w:color="auto"/>
        <w:left w:val="none" w:sz="0" w:space="0" w:color="auto"/>
        <w:bottom w:val="none" w:sz="0" w:space="0" w:color="auto"/>
        <w:right w:val="none" w:sz="0" w:space="0" w:color="auto"/>
      </w:divBdr>
    </w:div>
    <w:div w:id="1370108820">
      <w:bodyDiv w:val="1"/>
      <w:marLeft w:val="0"/>
      <w:marRight w:val="0"/>
      <w:marTop w:val="0"/>
      <w:marBottom w:val="0"/>
      <w:divBdr>
        <w:top w:val="none" w:sz="0" w:space="0" w:color="auto"/>
        <w:left w:val="none" w:sz="0" w:space="0" w:color="auto"/>
        <w:bottom w:val="none" w:sz="0" w:space="0" w:color="auto"/>
        <w:right w:val="none" w:sz="0" w:space="0" w:color="auto"/>
      </w:divBdr>
    </w:div>
    <w:div w:id="1465394395">
      <w:bodyDiv w:val="1"/>
      <w:marLeft w:val="0"/>
      <w:marRight w:val="0"/>
      <w:marTop w:val="0"/>
      <w:marBottom w:val="0"/>
      <w:divBdr>
        <w:top w:val="none" w:sz="0" w:space="0" w:color="auto"/>
        <w:left w:val="none" w:sz="0" w:space="0" w:color="auto"/>
        <w:bottom w:val="none" w:sz="0" w:space="0" w:color="auto"/>
        <w:right w:val="none" w:sz="0" w:space="0" w:color="auto"/>
      </w:divBdr>
    </w:div>
    <w:div w:id="1503819115">
      <w:bodyDiv w:val="1"/>
      <w:marLeft w:val="0"/>
      <w:marRight w:val="0"/>
      <w:marTop w:val="0"/>
      <w:marBottom w:val="0"/>
      <w:divBdr>
        <w:top w:val="none" w:sz="0" w:space="0" w:color="auto"/>
        <w:left w:val="none" w:sz="0" w:space="0" w:color="auto"/>
        <w:bottom w:val="none" w:sz="0" w:space="0" w:color="auto"/>
        <w:right w:val="none" w:sz="0" w:space="0" w:color="auto"/>
      </w:divBdr>
    </w:div>
    <w:div w:id="1513690266">
      <w:bodyDiv w:val="1"/>
      <w:marLeft w:val="0"/>
      <w:marRight w:val="0"/>
      <w:marTop w:val="0"/>
      <w:marBottom w:val="0"/>
      <w:divBdr>
        <w:top w:val="none" w:sz="0" w:space="0" w:color="auto"/>
        <w:left w:val="none" w:sz="0" w:space="0" w:color="auto"/>
        <w:bottom w:val="none" w:sz="0" w:space="0" w:color="auto"/>
        <w:right w:val="none" w:sz="0" w:space="0" w:color="auto"/>
      </w:divBdr>
    </w:div>
    <w:div w:id="1534809961">
      <w:bodyDiv w:val="1"/>
      <w:marLeft w:val="0"/>
      <w:marRight w:val="0"/>
      <w:marTop w:val="0"/>
      <w:marBottom w:val="0"/>
      <w:divBdr>
        <w:top w:val="none" w:sz="0" w:space="0" w:color="auto"/>
        <w:left w:val="none" w:sz="0" w:space="0" w:color="auto"/>
        <w:bottom w:val="none" w:sz="0" w:space="0" w:color="auto"/>
        <w:right w:val="none" w:sz="0" w:space="0" w:color="auto"/>
      </w:divBdr>
    </w:div>
    <w:div w:id="1601723062">
      <w:bodyDiv w:val="1"/>
      <w:marLeft w:val="0"/>
      <w:marRight w:val="0"/>
      <w:marTop w:val="0"/>
      <w:marBottom w:val="0"/>
      <w:divBdr>
        <w:top w:val="none" w:sz="0" w:space="0" w:color="auto"/>
        <w:left w:val="none" w:sz="0" w:space="0" w:color="auto"/>
        <w:bottom w:val="none" w:sz="0" w:space="0" w:color="auto"/>
        <w:right w:val="none" w:sz="0" w:space="0" w:color="auto"/>
      </w:divBdr>
    </w:div>
    <w:div w:id="1721712968">
      <w:bodyDiv w:val="1"/>
      <w:marLeft w:val="0"/>
      <w:marRight w:val="0"/>
      <w:marTop w:val="0"/>
      <w:marBottom w:val="0"/>
      <w:divBdr>
        <w:top w:val="none" w:sz="0" w:space="0" w:color="auto"/>
        <w:left w:val="none" w:sz="0" w:space="0" w:color="auto"/>
        <w:bottom w:val="none" w:sz="0" w:space="0" w:color="auto"/>
        <w:right w:val="none" w:sz="0" w:space="0" w:color="auto"/>
      </w:divBdr>
    </w:div>
    <w:div w:id="1822231840">
      <w:bodyDiv w:val="1"/>
      <w:marLeft w:val="0"/>
      <w:marRight w:val="0"/>
      <w:marTop w:val="0"/>
      <w:marBottom w:val="0"/>
      <w:divBdr>
        <w:top w:val="none" w:sz="0" w:space="0" w:color="auto"/>
        <w:left w:val="none" w:sz="0" w:space="0" w:color="auto"/>
        <w:bottom w:val="none" w:sz="0" w:space="0" w:color="auto"/>
        <w:right w:val="none" w:sz="0" w:space="0" w:color="auto"/>
      </w:divBdr>
    </w:div>
    <w:div w:id="1873688535">
      <w:bodyDiv w:val="1"/>
      <w:marLeft w:val="0"/>
      <w:marRight w:val="0"/>
      <w:marTop w:val="0"/>
      <w:marBottom w:val="0"/>
      <w:divBdr>
        <w:top w:val="none" w:sz="0" w:space="0" w:color="auto"/>
        <w:left w:val="none" w:sz="0" w:space="0" w:color="auto"/>
        <w:bottom w:val="none" w:sz="0" w:space="0" w:color="auto"/>
        <w:right w:val="none" w:sz="0" w:space="0" w:color="auto"/>
      </w:divBdr>
    </w:div>
    <w:div w:id="1905986529">
      <w:bodyDiv w:val="1"/>
      <w:marLeft w:val="0"/>
      <w:marRight w:val="0"/>
      <w:marTop w:val="0"/>
      <w:marBottom w:val="0"/>
      <w:divBdr>
        <w:top w:val="none" w:sz="0" w:space="0" w:color="auto"/>
        <w:left w:val="none" w:sz="0" w:space="0" w:color="auto"/>
        <w:bottom w:val="none" w:sz="0" w:space="0" w:color="auto"/>
        <w:right w:val="none" w:sz="0" w:space="0" w:color="auto"/>
      </w:divBdr>
    </w:div>
    <w:div w:id="1913389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89914-50C8-4593-9C7E-DA024E902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Microsoft Word - LD-21-003 - Option Selection Summary Report.docx</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LD-21-003 - Option Selection Summary Report.docx</dc:title>
  <dc:subject/>
  <dc:creator>cdiffley</dc:creator>
  <cp:keywords/>
  <dc:description/>
  <cp:lastModifiedBy>Patrick  Diffley</cp:lastModifiedBy>
  <cp:revision>2</cp:revision>
  <cp:lastPrinted>2025-04-14T10:11:00Z</cp:lastPrinted>
  <dcterms:created xsi:type="dcterms:W3CDTF">2025-07-28T14:27:00Z</dcterms:created>
  <dcterms:modified xsi:type="dcterms:W3CDTF">2025-07-28T14:27:00Z</dcterms:modified>
</cp:coreProperties>
</file>